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A768" w14:textId="77777777" w:rsidR="005E132D" w:rsidRPr="00E21B87" w:rsidRDefault="005E132D" w:rsidP="00C6700D">
      <w:pPr>
        <w:pStyle w:val="Ttulo11"/>
        <w:spacing w:beforeLines="120" w:before="288" w:afterLines="120" w:after="288" w:line="360" w:lineRule="auto"/>
        <w:ind w:left="0"/>
        <w:jc w:val="both"/>
      </w:pPr>
      <w:r w:rsidRPr="00E21B87">
        <w:t>RESOLUÇÃO</w:t>
      </w:r>
      <w:r w:rsidR="009872EE">
        <w:t xml:space="preserve"> </w:t>
      </w:r>
      <w:r w:rsidRPr="00E21B87">
        <w:t xml:space="preserve">Nº </w:t>
      </w:r>
      <w:r w:rsidR="00332424" w:rsidRPr="00E21B87">
        <w:t>04, 07</w:t>
      </w:r>
      <w:r w:rsidRPr="00E21B87">
        <w:t xml:space="preserve"> de</w:t>
      </w:r>
      <w:r w:rsidR="00FE2504">
        <w:t xml:space="preserve"> </w:t>
      </w:r>
      <w:r w:rsidRPr="00E21B87">
        <w:t>ju</w:t>
      </w:r>
      <w:r w:rsidR="00F708FC" w:rsidRPr="00E21B87">
        <w:t>l</w:t>
      </w:r>
      <w:r w:rsidRPr="00E21B87">
        <w:t>ho de</w:t>
      </w:r>
      <w:r w:rsidR="00FE2504">
        <w:t xml:space="preserve"> </w:t>
      </w:r>
      <w:r w:rsidRPr="00E21B87">
        <w:t>2022.</w:t>
      </w:r>
    </w:p>
    <w:p w14:paraId="5F40E37A" w14:textId="77777777" w:rsidR="005E132D" w:rsidRPr="00E21B87" w:rsidRDefault="005E132D" w:rsidP="00C6700D">
      <w:pPr>
        <w:pStyle w:val="Ttulo"/>
        <w:spacing w:beforeLines="120" w:before="288" w:afterLines="120" w:after="288" w:line="360" w:lineRule="auto"/>
        <w:ind w:right="0"/>
        <w:rPr>
          <w:sz w:val="24"/>
          <w:szCs w:val="24"/>
        </w:rPr>
      </w:pPr>
      <w:r w:rsidRPr="00E21B87">
        <w:rPr>
          <w:sz w:val="24"/>
          <w:szCs w:val="24"/>
        </w:rPr>
        <w:t>Dispõe</w:t>
      </w:r>
      <w:r w:rsidR="00E21B87" w:rsidRPr="00E21B87">
        <w:rPr>
          <w:sz w:val="24"/>
          <w:szCs w:val="24"/>
        </w:rPr>
        <w:t xml:space="preserve"> </w:t>
      </w:r>
      <w:r w:rsidRPr="00E21B87">
        <w:rPr>
          <w:sz w:val="24"/>
          <w:szCs w:val="24"/>
        </w:rPr>
        <w:t>sobre</w:t>
      </w:r>
      <w:r w:rsidR="00836EA0" w:rsidRPr="00E21B87">
        <w:rPr>
          <w:sz w:val="24"/>
          <w:szCs w:val="24"/>
        </w:rPr>
        <w:t xml:space="preserve"> a normatização e regulamentação d</w:t>
      </w:r>
      <w:r w:rsidRPr="00E21B87">
        <w:rPr>
          <w:sz w:val="24"/>
          <w:szCs w:val="24"/>
        </w:rPr>
        <w:t xml:space="preserve">o recadastramento </w:t>
      </w:r>
      <w:r w:rsidR="00836EA0" w:rsidRPr="00E21B87">
        <w:rPr>
          <w:sz w:val="24"/>
          <w:szCs w:val="24"/>
        </w:rPr>
        <w:t xml:space="preserve">obrigatório </w:t>
      </w:r>
      <w:r w:rsidR="00B45DA3">
        <w:rPr>
          <w:sz w:val="24"/>
          <w:szCs w:val="24"/>
        </w:rPr>
        <w:t>dos beneficiários do R</w:t>
      </w:r>
      <w:r w:rsidRPr="00E21B87">
        <w:rPr>
          <w:sz w:val="24"/>
          <w:szCs w:val="24"/>
        </w:rPr>
        <w:t>egime</w:t>
      </w:r>
      <w:r w:rsidR="00B45DA3">
        <w:rPr>
          <w:sz w:val="24"/>
          <w:szCs w:val="24"/>
        </w:rPr>
        <w:t xml:space="preserve"> Próprio de P</w:t>
      </w:r>
      <w:r w:rsidRPr="00E21B87">
        <w:rPr>
          <w:sz w:val="24"/>
          <w:szCs w:val="24"/>
        </w:rPr>
        <w:t>revidência</w:t>
      </w:r>
      <w:r w:rsidR="00B45DA3">
        <w:rPr>
          <w:sz w:val="24"/>
          <w:szCs w:val="24"/>
        </w:rPr>
        <w:t xml:space="preserve"> Social</w:t>
      </w:r>
      <w:r w:rsidRPr="00E21B87">
        <w:rPr>
          <w:sz w:val="24"/>
          <w:szCs w:val="24"/>
        </w:rPr>
        <w:t xml:space="preserve"> do Estado de Santa Catarina.</w:t>
      </w:r>
    </w:p>
    <w:p w14:paraId="23D7C17B" w14:textId="77777777" w:rsidR="00E21B87" w:rsidRPr="00E21B87" w:rsidRDefault="00E21B87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>O PRESIDENTE DO INSTITUTO DE PREVIDÊNCIA DO ESTADO DE SANTA CATARINA</w:t>
      </w:r>
      <w:r w:rsidR="00B45DA3">
        <w:t xml:space="preserve"> </w:t>
      </w:r>
      <w:r w:rsidRPr="00E21B87">
        <w:t>(IPREV), titular da unidade gestora do Regime Próprio de Previdência dos Servidores do Estado de Santa Catarina (RPPS/SC), no uso de suas atribuições, nos termos do art. 62, da Lei Complementar nº 741, de 12 de junho de 2019, do § 3º, do art. 11, da Lei Complementar nº 412, de 26 de junho de 2008, do §3º, do art. 18, do Decreto Estadual n° 3.337, de 23 de junho de 2010, e considerando:</w:t>
      </w:r>
    </w:p>
    <w:p w14:paraId="2726568A" w14:textId="77777777" w:rsidR="005E132D" w:rsidRPr="00E21B87" w:rsidRDefault="005E132D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>a legislação que trata do recadatramento dos beneficiários;</w:t>
      </w:r>
    </w:p>
    <w:p w14:paraId="04D2B138" w14:textId="77777777" w:rsidR="005E132D" w:rsidRPr="00E21B87" w:rsidRDefault="005E132D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>que o recadastramento é composto por 02 (duas) etapas: Prova de Vida e Atualização Cadastral;</w:t>
      </w:r>
    </w:p>
    <w:p w14:paraId="21E576F4" w14:textId="77777777" w:rsidR="005E132D" w:rsidRPr="00E21B87" w:rsidRDefault="005E132D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 xml:space="preserve">que o IPREV tem acesso a base de dados dos óbitos </w:t>
      </w:r>
      <w:r w:rsidR="00332424" w:rsidRPr="00E21B87">
        <w:t>registrados</w:t>
      </w:r>
      <w:r w:rsidRPr="00E21B87">
        <w:t xml:space="preserve"> em cartórios em Santa Catarina e em Território Nacional;</w:t>
      </w:r>
    </w:p>
    <w:p w14:paraId="7B113EA9" w14:textId="77777777" w:rsidR="00476ADD" w:rsidRPr="00E21B87" w:rsidRDefault="005E132D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>que a atualização cadastral pode ser realizada em período temporal distinto;</w:t>
      </w:r>
    </w:p>
    <w:p w14:paraId="5F9DD94C" w14:textId="77777777" w:rsidR="005E132D" w:rsidRDefault="005E132D" w:rsidP="00C6700D">
      <w:pPr>
        <w:adjustRightInd w:val="0"/>
        <w:spacing w:beforeLines="120" w:before="288" w:afterLines="120" w:after="288" w:line="360" w:lineRule="auto"/>
        <w:ind w:firstLine="1418"/>
        <w:jc w:val="both"/>
        <w:rPr>
          <w:sz w:val="24"/>
          <w:szCs w:val="24"/>
        </w:rPr>
      </w:pPr>
      <w:r w:rsidRPr="00E21B87">
        <w:rPr>
          <w:b/>
          <w:bCs/>
          <w:sz w:val="24"/>
          <w:szCs w:val="24"/>
        </w:rPr>
        <w:t>RESOLVE</w:t>
      </w:r>
      <w:r w:rsidR="00B45DA3">
        <w:rPr>
          <w:b/>
          <w:bCs/>
          <w:sz w:val="24"/>
          <w:szCs w:val="24"/>
        </w:rPr>
        <w:t xml:space="preserve"> </w:t>
      </w:r>
      <w:r w:rsidR="00B45DA3" w:rsidRPr="009872EE">
        <w:rPr>
          <w:sz w:val="24"/>
          <w:szCs w:val="24"/>
        </w:rPr>
        <w:t>o</w:t>
      </w:r>
      <w:r w:rsidRPr="00E21B87">
        <w:rPr>
          <w:sz w:val="24"/>
          <w:szCs w:val="24"/>
        </w:rPr>
        <w:t>rientar os beneficiários sobre a obrigatoriedade de recadastramento junto ao IPREV para fins de manutenção de recebimento de benefício previdenciár</w:t>
      </w:r>
      <w:r w:rsidR="00B45DA3">
        <w:rPr>
          <w:sz w:val="24"/>
          <w:szCs w:val="24"/>
        </w:rPr>
        <w:t>io de aposentadoria e ou pensão, da forma que se segue:</w:t>
      </w:r>
    </w:p>
    <w:p w14:paraId="0F7A9350" w14:textId="77777777" w:rsidR="00B45DA3" w:rsidRDefault="004221B9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>Art</w:t>
      </w:r>
      <w:r w:rsidR="00FE2504">
        <w:t>.</w:t>
      </w:r>
      <w:r w:rsidR="00B45DA3">
        <w:t xml:space="preserve"> </w:t>
      </w:r>
      <w:r w:rsidR="00E505B0" w:rsidRPr="00E21B87">
        <w:t>1</w:t>
      </w:r>
      <w:r w:rsidRPr="00E21B87">
        <w:t>º O recadastramento</w:t>
      </w:r>
      <w:r w:rsidR="00B45DA3">
        <w:t xml:space="preserve"> de que trata a Lei Complementar nº. 412, de 2008, corresponde há dois</w:t>
      </w:r>
      <w:r w:rsidRPr="00E21B87">
        <w:t xml:space="preserve"> procedimentos distintos</w:t>
      </w:r>
      <w:r w:rsidR="00B45DA3">
        <w:t>, quais sejam:</w:t>
      </w:r>
    </w:p>
    <w:p w14:paraId="6C722CAA" w14:textId="77777777" w:rsidR="00B45DA3" w:rsidRDefault="00B45DA3" w:rsidP="00C6700D">
      <w:pPr>
        <w:pStyle w:val="Corpodetexto"/>
        <w:spacing w:beforeLines="120" w:before="288" w:afterLines="120" w:after="288" w:line="360" w:lineRule="auto"/>
        <w:ind w:firstLine="1418"/>
      </w:pPr>
      <w:r>
        <w:lastRenderedPageBreak/>
        <w:t>I -  P</w:t>
      </w:r>
      <w:r w:rsidR="004221B9" w:rsidRPr="00E21B87">
        <w:t>rova de Vida</w:t>
      </w:r>
      <w:r w:rsidR="00FE2504">
        <w:t xml:space="preserve">; </w:t>
      </w:r>
      <w:r w:rsidR="004221B9" w:rsidRPr="00E21B87">
        <w:t xml:space="preserve">e </w:t>
      </w:r>
    </w:p>
    <w:p w14:paraId="73287655" w14:textId="77777777" w:rsidR="004221B9" w:rsidRPr="00E21B87" w:rsidRDefault="00B45DA3" w:rsidP="00C6700D">
      <w:pPr>
        <w:pStyle w:val="Corpodetexto"/>
        <w:spacing w:beforeLines="120" w:before="288" w:afterLines="120" w:after="288" w:line="360" w:lineRule="auto"/>
        <w:ind w:firstLine="1418"/>
      </w:pPr>
      <w:r>
        <w:t xml:space="preserve">II - </w:t>
      </w:r>
      <w:r w:rsidR="004221B9" w:rsidRPr="00E21B87">
        <w:t>Atualização Cadastral.</w:t>
      </w:r>
    </w:p>
    <w:p w14:paraId="72508F64" w14:textId="77777777" w:rsidR="005E132D" w:rsidRPr="00E21B87" w:rsidRDefault="005E132D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>§</w:t>
      </w:r>
      <w:r w:rsidR="00B45DA3">
        <w:t xml:space="preserve"> 1º </w:t>
      </w:r>
      <w:r w:rsidRPr="00E21B87">
        <w:t xml:space="preserve">A Prova de Vida é </w:t>
      </w:r>
      <w:r w:rsidR="00332424" w:rsidRPr="00E21B87">
        <w:t xml:space="preserve">a </w:t>
      </w:r>
      <w:r w:rsidRPr="00E21B87">
        <w:t>certifi</w:t>
      </w:r>
      <w:r w:rsidR="00B06FFB" w:rsidRPr="00E21B87">
        <w:t>c</w:t>
      </w:r>
      <w:r w:rsidRPr="00E21B87">
        <w:t xml:space="preserve">ação que o beneficiário </w:t>
      </w:r>
      <w:r w:rsidR="00931CAA" w:rsidRPr="00E21B87">
        <w:t>se encontra</w:t>
      </w:r>
      <w:r w:rsidR="00222A27">
        <w:t xml:space="preserve"> vivo</w:t>
      </w:r>
      <w:r w:rsidRPr="00E21B87">
        <w:t xml:space="preserve"> </w:t>
      </w:r>
      <w:r w:rsidR="00332424" w:rsidRPr="00E21B87">
        <w:t xml:space="preserve">e </w:t>
      </w:r>
      <w:r w:rsidRPr="00222A27">
        <w:t>fruindo</w:t>
      </w:r>
      <w:r w:rsidR="00B06FFB" w:rsidRPr="00222A27">
        <w:t xml:space="preserve"> </w:t>
      </w:r>
      <w:r w:rsidR="00222A27" w:rsidRPr="00222A27">
        <w:t xml:space="preserve">de </w:t>
      </w:r>
      <w:r w:rsidR="00931CAA" w:rsidRPr="00222A27">
        <w:t>seu</w:t>
      </w:r>
      <w:r w:rsidRPr="00222A27">
        <w:t xml:space="preserve"> benefício previd</w:t>
      </w:r>
      <w:r w:rsidRPr="00E21B87">
        <w:t>enciário.</w:t>
      </w:r>
    </w:p>
    <w:p w14:paraId="1799DA8E" w14:textId="77777777" w:rsidR="00222A27" w:rsidRDefault="00222A27" w:rsidP="00C6700D">
      <w:pPr>
        <w:pStyle w:val="Corpodetexto"/>
        <w:spacing w:beforeLines="120" w:before="288" w:afterLines="120" w:after="288" w:line="360" w:lineRule="auto"/>
        <w:ind w:firstLine="1418"/>
      </w:pPr>
      <w:r>
        <w:t xml:space="preserve">§ 2º </w:t>
      </w:r>
      <w:r w:rsidRPr="00E21B87">
        <w:t>A Atualização Cadastral é</w:t>
      </w:r>
      <w:r>
        <w:t xml:space="preserve"> a certificação documental</w:t>
      </w:r>
      <w:r w:rsidRPr="00E21B87">
        <w:t xml:space="preserve"> obrigatória</w:t>
      </w:r>
      <w:r>
        <w:t>, com a finalidade de</w:t>
      </w:r>
      <w:r w:rsidRPr="00E21B87">
        <w:t xml:space="preserve"> comprova</w:t>
      </w:r>
      <w:r>
        <w:t xml:space="preserve">r </w:t>
      </w:r>
      <w:r w:rsidRPr="00E21B87">
        <w:t xml:space="preserve">a manutenção </w:t>
      </w:r>
      <w:r>
        <w:t>da</w:t>
      </w:r>
      <w:r w:rsidRPr="00E21B87">
        <w:t xml:space="preserve"> condição</w:t>
      </w:r>
      <w:r>
        <w:t xml:space="preserve"> de beneficiário.</w:t>
      </w:r>
    </w:p>
    <w:p w14:paraId="04622A5E" w14:textId="77777777" w:rsidR="00F708FC" w:rsidRDefault="00222A27" w:rsidP="00C6700D">
      <w:pPr>
        <w:pStyle w:val="Corpodetexto"/>
        <w:spacing w:beforeLines="120" w:before="288" w:afterLines="120" w:after="288" w:line="360" w:lineRule="auto"/>
        <w:ind w:firstLine="1418"/>
      </w:pPr>
      <w:r>
        <w:t xml:space="preserve">Art. 2º </w:t>
      </w:r>
      <w:r w:rsidR="00D57695" w:rsidRPr="00222A27">
        <w:t xml:space="preserve">O </w:t>
      </w:r>
      <w:r w:rsidR="004221B9" w:rsidRPr="00222A27">
        <w:t>procedimento</w:t>
      </w:r>
      <w:r w:rsidRPr="00222A27">
        <w:t xml:space="preserve"> de Prova de V</w:t>
      </w:r>
      <w:r w:rsidR="00332424" w:rsidRPr="00222A27">
        <w:t>ida que trata o §1º</w:t>
      </w:r>
      <w:r w:rsidR="00FE2504">
        <w:t xml:space="preserve">, do art. 1º, </w:t>
      </w:r>
      <w:r w:rsidR="00F708FC" w:rsidRPr="00222A27">
        <w:t>será realizad</w:t>
      </w:r>
      <w:r w:rsidR="00D57695" w:rsidRPr="00222A27">
        <w:t>o</w:t>
      </w:r>
      <w:r w:rsidR="00F708FC" w:rsidRPr="00222A27">
        <w:t xml:space="preserve"> mediante verificação automatizada junto aos bancos de dados de registro civi</w:t>
      </w:r>
      <w:r>
        <w:t>l em todo o território nacional.</w:t>
      </w:r>
    </w:p>
    <w:p w14:paraId="45001524" w14:textId="77777777" w:rsidR="00222A27" w:rsidRPr="0084555B" w:rsidRDefault="00FE2504" w:rsidP="00C6700D">
      <w:pPr>
        <w:pStyle w:val="Corpodetexto"/>
        <w:spacing w:beforeLines="120" w:before="288" w:afterLines="120" w:after="288" w:line="360" w:lineRule="auto"/>
        <w:ind w:firstLine="1418"/>
      </w:pPr>
      <w:r>
        <w:t>Parágrafo único.</w:t>
      </w:r>
      <w:r w:rsidR="00222A27">
        <w:t xml:space="preserve"> Mantem-se a</w:t>
      </w:r>
      <w:r w:rsidR="005E132D" w:rsidRPr="00222A27">
        <w:t xml:space="preserve"> obrigatoriedade de prova de vida anual quando o beneficiário </w:t>
      </w:r>
      <w:r w:rsidR="00D57695" w:rsidRPr="00222A27">
        <w:t>se encontra</w:t>
      </w:r>
      <w:r w:rsidR="00222A27">
        <w:t xml:space="preserve">r </w:t>
      </w:r>
      <w:r w:rsidR="00D57695" w:rsidRPr="00222A27">
        <w:t>residindo</w:t>
      </w:r>
      <w:r w:rsidR="005E132D" w:rsidRPr="00222A27">
        <w:t xml:space="preserve"> no exterior, </w:t>
      </w:r>
      <w:r w:rsidR="00222A27">
        <w:t>procedimento</w:t>
      </w:r>
      <w:r w:rsidR="005E132D" w:rsidRPr="00222A27">
        <w:t xml:space="preserve"> que deve</w:t>
      </w:r>
      <w:r w:rsidR="00222A27">
        <w:t>rá</w:t>
      </w:r>
      <w:r w:rsidR="005E132D" w:rsidRPr="00222A27">
        <w:t xml:space="preserve"> ser </w:t>
      </w:r>
      <w:r w:rsidR="00222A27">
        <w:t>realizado</w:t>
      </w:r>
      <w:r w:rsidR="005E132D" w:rsidRPr="00222A27">
        <w:t xml:space="preserve"> pelo envio de certidão de prova de vida emitida por cartório do exterior e com tradução juramentada</w:t>
      </w:r>
      <w:r w:rsidR="00736F2E" w:rsidRPr="00222A27">
        <w:t xml:space="preserve">, </w:t>
      </w:r>
      <w:r w:rsidR="00222A27">
        <w:t xml:space="preserve">ou ainda, por meio da embaixada ou consulado brasileiro no exterior, </w:t>
      </w:r>
      <w:r w:rsidR="00736F2E" w:rsidRPr="00222A27">
        <w:t>sempre no mês de aniversário do beneficiário.</w:t>
      </w:r>
    </w:p>
    <w:p w14:paraId="2F37DA60" w14:textId="77777777" w:rsidR="005E132D" w:rsidRPr="00E21B87" w:rsidRDefault="00222A27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Art. 3º </w:t>
      </w:r>
      <w:r w:rsidR="005E132D" w:rsidRPr="00E21B87">
        <w:rPr>
          <w:sz w:val="24"/>
          <w:szCs w:val="24"/>
        </w:rPr>
        <w:t xml:space="preserve">A Atualização Cadastral será exigida </w:t>
      </w:r>
      <w:r w:rsidR="00DD2885">
        <w:rPr>
          <w:sz w:val="24"/>
          <w:szCs w:val="24"/>
        </w:rPr>
        <w:t>a cada 2 (dois) anos</w:t>
      </w:r>
      <w:r>
        <w:rPr>
          <w:sz w:val="24"/>
          <w:szCs w:val="24"/>
        </w:rPr>
        <w:t>,</w:t>
      </w:r>
      <w:r w:rsidR="005E132D" w:rsidRPr="00E21B87">
        <w:rPr>
          <w:sz w:val="24"/>
          <w:szCs w:val="24"/>
        </w:rPr>
        <w:t xml:space="preserve"> realizada sempre no mês de aniversário do beneficiário, podendo</w:t>
      </w:r>
      <w:r>
        <w:rPr>
          <w:sz w:val="24"/>
          <w:szCs w:val="24"/>
        </w:rPr>
        <w:t xml:space="preserve"> se dar por meio</w:t>
      </w:r>
      <w:r w:rsidR="005E132D" w:rsidRPr="00E21B87">
        <w:rPr>
          <w:sz w:val="24"/>
          <w:szCs w:val="24"/>
        </w:rPr>
        <w:t>:</w:t>
      </w:r>
    </w:p>
    <w:p w14:paraId="0CC1559E" w14:textId="77777777" w:rsidR="0084555B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r w:rsidR="005E132D" w:rsidRPr="0084555B">
        <w:rPr>
          <w:sz w:val="24"/>
          <w:szCs w:val="24"/>
        </w:rPr>
        <w:t>presencial</w:t>
      </w:r>
      <w:r>
        <w:rPr>
          <w:sz w:val="24"/>
          <w:szCs w:val="24"/>
        </w:rPr>
        <w:t>,</w:t>
      </w:r>
      <w:r w:rsidR="00BF284F">
        <w:rPr>
          <w:sz w:val="24"/>
          <w:szCs w:val="24"/>
        </w:rPr>
        <w:t xml:space="preserve"> na Central de Atendimento do IPREV;</w:t>
      </w:r>
    </w:p>
    <w:p w14:paraId="6FFE3F79" w14:textId="77777777" w:rsidR="0084555B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>II – remoto,</w:t>
      </w:r>
      <w:r w:rsidR="005E132D" w:rsidRPr="0084555B">
        <w:rPr>
          <w:sz w:val="24"/>
          <w:szCs w:val="24"/>
        </w:rPr>
        <w:t xml:space="preserve"> pelo portal de serviços do Estado de Santa Catarina</w:t>
      </w:r>
      <w:r>
        <w:rPr>
          <w:sz w:val="24"/>
          <w:szCs w:val="24"/>
        </w:rPr>
        <w:t xml:space="preserve">, acessando o Link: </w:t>
      </w:r>
      <w:hyperlink r:id="rId7" w:history="1">
        <w:r w:rsidR="005E132D" w:rsidRPr="0084555B">
          <w:rPr>
            <w:sz w:val="24"/>
            <w:szCs w:val="24"/>
            <w:u w:val="single"/>
          </w:rPr>
          <w:t>https://www.sc.gov.br/servicos/detalhe/protocolo-digital</w:t>
        </w:r>
      </w:hyperlink>
      <w:r>
        <w:rPr>
          <w:sz w:val="24"/>
          <w:szCs w:val="24"/>
        </w:rPr>
        <w:t xml:space="preserve"> , identificando o Assunto: Recadastramento, e o </w:t>
      </w:r>
      <w:r w:rsidR="005E132D" w:rsidRPr="0084555B">
        <w:rPr>
          <w:sz w:val="24"/>
          <w:szCs w:val="24"/>
        </w:rPr>
        <w:t>C</w:t>
      </w:r>
      <w:r>
        <w:rPr>
          <w:sz w:val="24"/>
          <w:szCs w:val="24"/>
        </w:rPr>
        <w:t>ódigo: 1776</w:t>
      </w:r>
      <w:r w:rsidR="005E132D" w:rsidRPr="0084555B">
        <w:rPr>
          <w:sz w:val="24"/>
          <w:szCs w:val="24"/>
        </w:rPr>
        <w:t>.</w:t>
      </w:r>
    </w:p>
    <w:p w14:paraId="07D60430" w14:textId="77777777" w:rsidR="0084555B" w:rsidRPr="0084555B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 w:rsidRPr="0084555B">
        <w:rPr>
          <w:sz w:val="24"/>
          <w:szCs w:val="24"/>
        </w:rPr>
        <w:t xml:space="preserve">III </w:t>
      </w:r>
      <w:r>
        <w:rPr>
          <w:sz w:val="24"/>
          <w:szCs w:val="24"/>
        </w:rPr>
        <w:t>–</w:t>
      </w:r>
      <w:r w:rsidRPr="0084555B">
        <w:rPr>
          <w:sz w:val="24"/>
          <w:szCs w:val="24"/>
        </w:rPr>
        <w:t xml:space="preserve"> </w:t>
      </w:r>
      <w:r>
        <w:rPr>
          <w:sz w:val="24"/>
          <w:szCs w:val="24"/>
        </w:rPr>
        <w:t>de procurador constituído</w:t>
      </w:r>
      <w:r w:rsidRPr="0084555B">
        <w:rPr>
          <w:sz w:val="24"/>
          <w:szCs w:val="24"/>
        </w:rPr>
        <w:t>, termo de curatela ou termo de tutela autenticados caso o</w:t>
      </w:r>
      <w:r w:rsidRPr="0084555B">
        <w:rPr>
          <w:spacing w:val="-57"/>
          <w:sz w:val="24"/>
          <w:szCs w:val="24"/>
        </w:rPr>
        <w:t xml:space="preserve"> </w:t>
      </w:r>
      <w:r w:rsidR="00FE2504">
        <w:rPr>
          <w:sz w:val="24"/>
          <w:szCs w:val="24"/>
        </w:rPr>
        <w:t>procedimento</w:t>
      </w:r>
      <w:r w:rsidRPr="0084555B">
        <w:rPr>
          <w:spacing w:val="-1"/>
          <w:sz w:val="24"/>
          <w:szCs w:val="24"/>
        </w:rPr>
        <w:t xml:space="preserve"> </w:t>
      </w:r>
      <w:r w:rsidRPr="0084555B">
        <w:rPr>
          <w:sz w:val="24"/>
          <w:szCs w:val="24"/>
        </w:rPr>
        <w:t>seja</w:t>
      </w:r>
      <w:r w:rsidRPr="0084555B">
        <w:rPr>
          <w:spacing w:val="-1"/>
          <w:sz w:val="24"/>
          <w:szCs w:val="24"/>
        </w:rPr>
        <w:t xml:space="preserve"> </w:t>
      </w:r>
      <w:r w:rsidRPr="0084555B">
        <w:rPr>
          <w:sz w:val="24"/>
          <w:szCs w:val="24"/>
        </w:rPr>
        <w:t>feito</w:t>
      </w:r>
      <w:r w:rsidRPr="0084555B">
        <w:rPr>
          <w:spacing w:val="-1"/>
          <w:sz w:val="24"/>
          <w:szCs w:val="24"/>
        </w:rPr>
        <w:t xml:space="preserve"> </w:t>
      </w:r>
      <w:r w:rsidRPr="0084555B">
        <w:rPr>
          <w:sz w:val="24"/>
          <w:szCs w:val="24"/>
        </w:rPr>
        <w:t>por</w:t>
      </w:r>
      <w:r w:rsidRPr="0084555B">
        <w:rPr>
          <w:spacing w:val="-1"/>
          <w:sz w:val="24"/>
          <w:szCs w:val="24"/>
        </w:rPr>
        <w:t xml:space="preserve"> </w:t>
      </w:r>
      <w:r w:rsidRPr="0084555B">
        <w:rPr>
          <w:sz w:val="24"/>
          <w:szCs w:val="24"/>
        </w:rPr>
        <w:t>terceiros,</w:t>
      </w:r>
      <w:r w:rsidRPr="0084555B">
        <w:rPr>
          <w:spacing w:val="-1"/>
          <w:sz w:val="24"/>
          <w:szCs w:val="24"/>
        </w:rPr>
        <w:t xml:space="preserve"> </w:t>
      </w:r>
      <w:r w:rsidRPr="0084555B">
        <w:rPr>
          <w:sz w:val="24"/>
          <w:szCs w:val="24"/>
        </w:rPr>
        <w:t>ressalvada</w:t>
      </w:r>
      <w:r w:rsidRPr="0084555B">
        <w:rPr>
          <w:spacing w:val="-2"/>
          <w:sz w:val="24"/>
          <w:szCs w:val="24"/>
        </w:rPr>
        <w:t xml:space="preserve"> </w:t>
      </w:r>
      <w:r w:rsidRPr="0084555B">
        <w:rPr>
          <w:sz w:val="24"/>
          <w:szCs w:val="24"/>
        </w:rPr>
        <w:t>a</w:t>
      </w:r>
      <w:r w:rsidRPr="0084555B">
        <w:rPr>
          <w:spacing w:val="-1"/>
          <w:sz w:val="24"/>
          <w:szCs w:val="24"/>
        </w:rPr>
        <w:t xml:space="preserve"> </w:t>
      </w:r>
      <w:r w:rsidRPr="0084555B">
        <w:rPr>
          <w:sz w:val="24"/>
          <w:szCs w:val="24"/>
        </w:rPr>
        <w:t>outorga</w:t>
      </w:r>
      <w:r w:rsidRPr="0084555B">
        <w:rPr>
          <w:spacing w:val="-2"/>
          <w:sz w:val="24"/>
          <w:szCs w:val="24"/>
        </w:rPr>
        <w:t xml:space="preserve"> </w:t>
      </w:r>
      <w:r w:rsidRPr="0084555B">
        <w:rPr>
          <w:sz w:val="24"/>
          <w:szCs w:val="24"/>
        </w:rPr>
        <w:t>à</w:t>
      </w:r>
      <w:r w:rsidRPr="0084555B">
        <w:rPr>
          <w:spacing w:val="-2"/>
          <w:sz w:val="24"/>
          <w:szCs w:val="24"/>
        </w:rPr>
        <w:t xml:space="preserve"> </w:t>
      </w:r>
      <w:r w:rsidRPr="0084555B">
        <w:rPr>
          <w:sz w:val="24"/>
          <w:szCs w:val="24"/>
        </w:rPr>
        <w:t>advogado legalmente constituído.</w:t>
      </w:r>
    </w:p>
    <w:p w14:paraId="386B6966" w14:textId="77777777" w:rsidR="005E132D" w:rsidRPr="00E21B87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>§ 1º</w:t>
      </w:r>
      <w:r w:rsidR="005E132D" w:rsidRPr="00E21B87">
        <w:rPr>
          <w:sz w:val="24"/>
          <w:szCs w:val="24"/>
        </w:rPr>
        <w:t xml:space="preserve"> </w:t>
      </w:r>
      <w:r>
        <w:rPr>
          <w:sz w:val="24"/>
          <w:szCs w:val="24"/>
        </w:rPr>
        <w:t>Para a realização da</w:t>
      </w:r>
      <w:r w:rsidR="005E132D" w:rsidRPr="00E21B87">
        <w:rPr>
          <w:sz w:val="24"/>
          <w:szCs w:val="24"/>
        </w:rPr>
        <w:t xml:space="preserve"> Atualização Cadastral</w:t>
      </w:r>
      <w:r>
        <w:rPr>
          <w:sz w:val="24"/>
          <w:szCs w:val="24"/>
        </w:rPr>
        <w:t xml:space="preserve"> o beneficiário deverá apresentar os seguintes documentos: </w:t>
      </w:r>
    </w:p>
    <w:p w14:paraId="0BB73E3B" w14:textId="77777777" w:rsidR="0084555B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- Formulário de</w:t>
      </w:r>
      <w:r w:rsidR="005E132D" w:rsidRPr="0084555B">
        <w:rPr>
          <w:sz w:val="24"/>
          <w:szCs w:val="24"/>
        </w:rPr>
        <w:t xml:space="preserve"> Atualização Cadastral;</w:t>
      </w:r>
    </w:p>
    <w:p w14:paraId="0FDB1E8D" w14:textId="77777777" w:rsidR="005E132D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>II - C</w:t>
      </w:r>
      <w:r w:rsidR="005E132D" w:rsidRPr="0084555B">
        <w:rPr>
          <w:sz w:val="24"/>
          <w:szCs w:val="24"/>
        </w:rPr>
        <w:t>omprovante de residência atualizado, podendo ser de água, luz, telefone, internet, com data de vencimento não inferior a 3 (três) meses;</w:t>
      </w:r>
    </w:p>
    <w:p w14:paraId="642FB4C7" w14:textId="77777777" w:rsidR="0084555B" w:rsidRPr="0084555B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III- </w:t>
      </w:r>
      <w:r w:rsidRPr="0084555B">
        <w:rPr>
          <w:sz w:val="24"/>
          <w:szCs w:val="24"/>
        </w:rPr>
        <w:t>Certidão de casamento ou nascimento atualizada</w:t>
      </w:r>
      <w:r>
        <w:rPr>
          <w:sz w:val="24"/>
          <w:szCs w:val="24"/>
        </w:rPr>
        <w:t>;</w:t>
      </w:r>
    </w:p>
    <w:p w14:paraId="153720EB" w14:textId="77777777" w:rsidR="0084555B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="005E132D" w:rsidRPr="0084555B">
        <w:rPr>
          <w:sz w:val="24"/>
          <w:szCs w:val="24"/>
        </w:rPr>
        <w:t>Formulário de Dependentes</w:t>
      </w:r>
      <w:r>
        <w:rPr>
          <w:sz w:val="24"/>
          <w:szCs w:val="24"/>
        </w:rPr>
        <w:t>; e</w:t>
      </w:r>
    </w:p>
    <w:p w14:paraId="55F3F914" w14:textId="77777777" w:rsidR="0084555B" w:rsidRDefault="0084555B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="00FE2504">
        <w:rPr>
          <w:sz w:val="24"/>
          <w:szCs w:val="24"/>
        </w:rPr>
        <w:t>Cópia da Carteira de I</w:t>
      </w:r>
      <w:r w:rsidR="005E132D" w:rsidRPr="0084555B">
        <w:rPr>
          <w:sz w:val="24"/>
          <w:szCs w:val="24"/>
        </w:rPr>
        <w:t>dentidade do beneficiá</w:t>
      </w:r>
      <w:r>
        <w:rPr>
          <w:sz w:val="24"/>
          <w:szCs w:val="24"/>
        </w:rPr>
        <w:t>rio e dos dependentes inscritos.</w:t>
      </w:r>
    </w:p>
    <w:p w14:paraId="0BA749C3" w14:textId="77777777" w:rsidR="00B15EDE" w:rsidRPr="00E21B87" w:rsidRDefault="00DD2885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 w:rsidRPr="00DD2885">
        <w:rPr>
          <w:sz w:val="24"/>
          <w:szCs w:val="24"/>
        </w:rPr>
        <w:t>§ 2º A atualização C</w:t>
      </w:r>
      <w:r w:rsidR="00B15EDE" w:rsidRPr="00DD2885">
        <w:rPr>
          <w:sz w:val="24"/>
          <w:szCs w:val="24"/>
        </w:rPr>
        <w:t xml:space="preserve">adastral poderá ser realizada anualmente, mediante a solicitação de informações do IPREV com o objetivo de analisar </w:t>
      </w:r>
      <w:r w:rsidR="00931CAA" w:rsidRPr="00DD2885">
        <w:rPr>
          <w:sz w:val="24"/>
          <w:szCs w:val="24"/>
        </w:rPr>
        <w:t xml:space="preserve">a situação cadastral do </w:t>
      </w:r>
      <w:r w:rsidRPr="00DD2885">
        <w:rPr>
          <w:sz w:val="24"/>
          <w:szCs w:val="24"/>
        </w:rPr>
        <w:t>beneficiário, conforme prevê o art. 56 da Lei Complementar n</w:t>
      </w:r>
      <w:r w:rsidR="00931CAA" w:rsidRPr="00DD2885">
        <w:rPr>
          <w:sz w:val="24"/>
          <w:szCs w:val="24"/>
        </w:rPr>
        <w:t>º 412 de 2008.</w:t>
      </w:r>
    </w:p>
    <w:p w14:paraId="2BC57AFC" w14:textId="77777777" w:rsidR="008E7933" w:rsidRPr="00E21B87" w:rsidRDefault="004F56EF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>Art</w:t>
      </w:r>
      <w:r w:rsidR="00DD2885">
        <w:t>. 4</w:t>
      </w:r>
      <w:r w:rsidRPr="00E21B87">
        <w:t>º A suspensão e ou cancelamento de ben</w:t>
      </w:r>
      <w:r w:rsidR="00736F2E" w:rsidRPr="00E21B87">
        <w:t>e</w:t>
      </w:r>
      <w:r w:rsidRPr="00E21B87">
        <w:t xml:space="preserve">fício previdenciário </w:t>
      </w:r>
      <w:r w:rsidR="00B662F6" w:rsidRPr="00E21B87">
        <w:t xml:space="preserve">poderá ocorrer </w:t>
      </w:r>
      <w:r w:rsidR="00E918BA" w:rsidRPr="00E21B87">
        <w:t xml:space="preserve">em até </w:t>
      </w:r>
      <w:r w:rsidR="00B662F6" w:rsidRPr="00E21B87">
        <w:t xml:space="preserve">30 (trinta) dias após vencidos os prazos </w:t>
      </w:r>
      <w:r w:rsidR="00AE2E4E" w:rsidRPr="00E21B87">
        <w:t>dos</w:t>
      </w:r>
      <w:r w:rsidR="00736F2E" w:rsidRPr="00E21B87">
        <w:t xml:space="preserve"> procedimentos requ</w:t>
      </w:r>
      <w:r w:rsidR="004F2F43" w:rsidRPr="00E21B87">
        <w:t>e</w:t>
      </w:r>
      <w:r w:rsidR="00736F2E" w:rsidRPr="00E21B87">
        <w:t>ridos nesta Resolução</w:t>
      </w:r>
      <w:r w:rsidR="00DD2885">
        <w:t>, nos termos do art. 56 da Lei Complementar nº. 412 de 2008</w:t>
      </w:r>
      <w:r w:rsidR="004F2F43" w:rsidRPr="00E21B87">
        <w:t>.</w:t>
      </w:r>
    </w:p>
    <w:p w14:paraId="520BD16A" w14:textId="77777777" w:rsidR="005C000D" w:rsidRPr="00E21B87" w:rsidRDefault="00DD2885" w:rsidP="00C6700D">
      <w:pPr>
        <w:pStyle w:val="Corpodetexto"/>
        <w:spacing w:beforeLines="120" w:before="288" w:afterLines="120" w:after="288" w:line="360" w:lineRule="auto"/>
        <w:ind w:firstLine="1418"/>
      </w:pPr>
      <w:r>
        <w:t>Parágrafo Único.</w:t>
      </w:r>
      <w:r w:rsidR="005C000D" w:rsidRPr="00E21B87">
        <w:t xml:space="preserve"> Para o desbloqueio de valores de benefícios ocorridos em função da não atualização cadastral deverá o interessado </w:t>
      </w:r>
      <w:r>
        <w:t>autuar requerimento</w:t>
      </w:r>
      <w:r w:rsidR="005C000D" w:rsidRPr="00E21B87">
        <w:t xml:space="preserve"> via portal de serviços</w:t>
      </w:r>
      <w:r>
        <w:t xml:space="preserve"> acessando o link: </w:t>
      </w:r>
      <w:hyperlink r:id="rId8" w:history="1">
        <w:r w:rsidRPr="00DD2885">
          <w:rPr>
            <w:u w:val="single"/>
          </w:rPr>
          <w:t>https://www.sc.gov.br/servicos/detalhe/protocolo-digital</w:t>
        </w:r>
      </w:hyperlink>
      <w:r w:rsidR="005C000D" w:rsidRPr="00E21B87">
        <w:t>, observando os procedimen</w:t>
      </w:r>
      <w:r>
        <w:t xml:space="preserve">tos exigidos e identificando o </w:t>
      </w:r>
      <w:r w:rsidR="005C000D" w:rsidRPr="00E21B87">
        <w:t>A</w:t>
      </w:r>
      <w:r>
        <w:t>ssunto</w:t>
      </w:r>
      <w:r w:rsidR="005C000D" w:rsidRPr="00E21B87">
        <w:t>: Recadastramento desbloqueio de valores</w:t>
      </w:r>
      <w:r>
        <w:t xml:space="preserve">, e o </w:t>
      </w:r>
      <w:r w:rsidR="005C000D" w:rsidRPr="00E21B87">
        <w:t>C</w:t>
      </w:r>
      <w:r>
        <w:t>ódigo</w:t>
      </w:r>
      <w:r w:rsidR="005C000D" w:rsidRPr="00E21B87">
        <w:t>: 1780</w:t>
      </w:r>
      <w:r w:rsidR="00320B91" w:rsidRPr="00E21B87">
        <w:t>.</w:t>
      </w:r>
    </w:p>
    <w:p w14:paraId="2A6DAE5E" w14:textId="77777777" w:rsidR="00422C88" w:rsidRPr="00E21B87" w:rsidRDefault="00422C88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 xml:space="preserve">Art. </w:t>
      </w:r>
      <w:r>
        <w:t>5</w:t>
      </w:r>
      <w:r w:rsidRPr="00E21B87">
        <w:t>º</w:t>
      </w:r>
      <w:r>
        <w:t xml:space="preserve">. </w:t>
      </w:r>
      <w:r w:rsidRPr="00E21B87">
        <w:t>Revogam-se as disposições em contrário.</w:t>
      </w:r>
    </w:p>
    <w:p w14:paraId="4CC72457" w14:textId="77777777" w:rsidR="002F54E2" w:rsidRPr="00E21B87" w:rsidRDefault="004F2F43" w:rsidP="00C6700D">
      <w:pPr>
        <w:pStyle w:val="Corpodetexto"/>
        <w:spacing w:beforeLines="120" w:before="288" w:afterLines="120" w:after="288" w:line="360" w:lineRule="auto"/>
        <w:ind w:firstLine="1418"/>
      </w:pPr>
      <w:r w:rsidRPr="00E21B87">
        <w:t>Art</w:t>
      </w:r>
      <w:r w:rsidR="00DD2885">
        <w:t xml:space="preserve">. </w:t>
      </w:r>
      <w:r w:rsidR="00422C88">
        <w:t>6</w:t>
      </w:r>
      <w:r w:rsidRPr="00E21B87">
        <w:t>º</w:t>
      </w:r>
      <w:r w:rsidR="00DD2885">
        <w:t xml:space="preserve"> </w:t>
      </w:r>
      <w:r w:rsidR="00B06FFB" w:rsidRPr="00E21B87">
        <w:t>A pre</w:t>
      </w:r>
      <w:r w:rsidR="00A27464" w:rsidRPr="00E21B87">
        <w:t xml:space="preserve">sente </w:t>
      </w:r>
      <w:r w:rsidR="00DD2885">
        <w:t xml:space="preserve">Resolução </w:t>
      </w:r>
      <w:r w:rsidR="00A27464" w:rsidRPr="00E21B87">
        <w:t xml:space="preserve">entra em vigor na data </w:t>
      </w:r>
      <w:r w:rsidR="00B06FFB" w:rsidRPr="00E21B87">
        <w:t>de sua publicação</w:t>
      </w:r>
      <w:r w:rsidR="002F54E2" w:rsidRPr="00E21B87">
        <w:t xml:space="preserve">, </w:t>
      </w:r>
      <w:r w:rsidR="00422C88">
        <w:t xml:space="preserve">ressalvado o diposto no art. 3º que produzirá </w:t>
      </w:r>
      <w:r w:rsidR="002F54E2" w:rsidRPr="00E21B87">
        <w:t>efeitos</w:t>
      </w:r>
      <w:r w:rsidR="00DD2885">
        <w:t xml:space="preserve"> a contar</w:t>
      </w:r>
      <w:r w:rsidR="002F54E2" w:rsidRPr="00E21B87">
        <w:t>:</w:t>
      </w:r>
    </w:p>
    <w:p w14:paraId="0EC9EF6E" w14:textId="77777777" w:rsidR="00AE2E4E" w:rsidRPr="00E21B87" w:rsidRDefault="00AE2E4E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 w:rsidRPr="00E21B87">
        <w:rPr>
          <w:sz w:val="24"/>
          <w:szCs w:val="24"/>
        </w:rPr>
        <w:t xml:space="preserve">I </w:t>
      </w:r>
      <w:r w:rsidR="00DD2885">
        <w:rPr>
          <w:sz w:val="24"/>
          <w:szCs w:val="24"/>
        </w:rPr>
        <w:t>– de 01.01.</w:t>
      </w:r>
      <w:r w:rsidR="00AB04AB" w:rsidRPr="00E21B87">
        <w:rPr>
          <w:sz w:val="24"/>
          <w:szCs w:val="24"/>
        </w:rPr>
        <w:t xml:space="preserve">2023, </w:t>
      </w:r>
      <w:r w:rsidRPr="00E21B87">
        <w:rPr>
          <w:sz w:val="24"/>
          <w:szCs w:val="24"/>
        </w:rPr>
        <w:t xml:space="preserve">para </w:t>
      </w:r>
      <w:r w:rsidR="00931CAA" w:rsidRPr="00E21B87">
        <w:rPr>
          <w:sz w:val="24"/>
          <w:szCs w:val="24"/>
        </w:rPr>
        <w:t>os beneficiários</w:t>
      </w:r>
      <w:r w:rsidRPr="00E21B87">
        <w:rPr>
          <w:sz w:val="24"/>
          <w:szCs w:val="24"/>
        </w:rPr>
        <w:t xml:space="preserve"> que se encontram em gozo de </w:t>
      </w:r>
      <w:r w:rsidRPr="00E21B87">
        <w:rPr>
          <w:sz w:val="24"/>
          <w:szCs w:val="24"/>
        </w:rPr>
        <w:lastRenderedPageBreak/>
        <w:t xml:space="preserve">benefício previdenciário há mais de </w:t>
      </w:r>
      <w:r w:rsidR="00AB04AB" w:rsidRPr="00E21B87">
        <w:rPr>
          <w:sz w:val="24"/>
          <w:szCs w:val="24"/>
        </w:rPr>
        <w:t>02 (dois) anos</w:t>
      </w:r>
      <w:r w:rsidR="00DD2885">
        <w:rPr>
          <w:sz w:val="24"/>
          <w:szCs w:val="24"/>
        </w:rPr>
        <w:t>;</w:t>
      </w:r>
    </w:p>
    <w:p w14:paraId="73F30FEC" w14:textId="77777777" w:rsidR="00896292" w:rsidRDefault="00DD2885" w:rsidP="00C6700D">
      <w:pPr>
        <w:pStyle w:val="PargrafodaLista"/>
        <w:tabs>
          <w:tab w:val="left" w:pos="1677"/>
        </w:tabs>
        <w:spacing w:beforeLines="120" w:before="288" w:afterLines="120" w:after="288" w:line="360" w:lineRule="auto"/>
        <w:rPr>
          <w:sz w:val="24"/>
          <w:szCs w:val="24"/>
        </w:rPr>
      </w:pPr>
      <w:r>
        <w:rPr>
          <w:sz w:val="24"/>
          <w:szCs w:val="24"/>
        </w:rPr>
        <w:t>II –</w:t>
      </w:r>
      <w:r w:rsidR="00AE2E4E" w:rsidRPr="00E21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="00AB04AB" w:rsidRPr="00E21B87">
        <w:rPr>
          <w:sz w:val="24"/>
          <w:szCs w:val="24"/>
        </w:rPr>
        <w:t>data da concessão do benefício,</w:t>
      </w:r>
      <w:r w:rsidR="006C76A6" w:rsidRPr="00E21B87">
        <w:rPr>
          <w:sz w:val="24"/>
          <w:szCs w:val="24"/>
        </w:rPr>
        <w:t xml:space="preserve"> </w:t>
      </w:r>
      <w:r w:rsidR="00AB04AB" w:rsidRPr="00E21B87">
        <w:rPr>
          <w:sz w:val="24"/>
          <w:szCs w:val="24"/>
        </w:rPr>
        <w:t>p</w:t>
      </w:r>
      <w:r w:rsidR="00AE2E4E" w:rsidRPr="00E21B87">
        <w:rPr>
          <w:sz w:val="24"/>
          <w:szCs w:val="24"/>
        </w:rPr>
        <w:t xml:space="preserve">ara os </w:t>
      </w:r>
      <w:r w:rsidR="00AB04AB" w:rsidRPr="00E21B87">
        <w:rPr>
          <w:sz w:val="24"/>
          <w:szCs w:val="24"/>
        </w:rPr>
        <w:t>demais beneficiários</w:t>
      </w:r>
      <w:r>
        <w:rPr>
          <w:sz w:val="24"/>
          <w:szCs w:val="24"/>
        </w:rPr>
        <w:t>.</w:t>
      </w:r>
    </w:p>
    <w:p w14:paraId="4EB6BD15" w14:textId="77777777" w:rsidR="00471033" w:rsidRDefault="00471033" w:rsidP="00C6700D">
      <w:pPr>
        <w:spacing w:beforeLines="120" w:before="288" w:afterLines="120" w:after="288" w:line="360" w:lineRule="auto"/>
        <w:ind w:firstLine="709"/>
        <w:jc w:val="both"/>
        <w:rPr>
          <w:sz w:val="24"/>
          <w:szCs w:val="24"/>
        </w:rPr>
      </w:pPr>
    </w:p>
    <w:p w14:paraId="53809B48" w14:textId="77777777" w:rsidR="00896292" w:rsidRPr="00E21B87" w:rsidRDefault="00896292" w:rsidP="00C6700D">
      <w:pPr>
        <w:spacing w:beforeLines="120" w:before="288" w:afterLines="120" w:after="288" w:line="360" w:lineRule="auto"/>
        <w:ind w:firstLine="709"/>
        <w:jc w:val="both"/>
        <w:rPr>
          <w:sz w:val="24"/>
          <w:szCs w:val="24"/>
        </w:rPr>
      </w:pPr>
      <w:r w:rsidRPr="00E21B87">
        <w:rPr>
          <w:sz w:val="24"/>
          <w:szCs w:val="24"/>
        </w:rPr>
        <w:t xml:space="preserve">Florianópolis, </w:t>
      </w:r>
      <w:r w:rsidR="00F708FC" w:rsidRPr="00E21B87">
        <w:rPr>
          <w:sz w:val="24"/>
          <w:szCs w:val="24"/>
        </w:rPr>
        <w:t>07</w:t>
      </w:r>
      <w:r w:rsidRPr="00E21B87">
        <w:rPr>
          <w:sz w:val="24"/>
          <w:szCs w:val="24"/>
        </w:rPr>
        <w:t xml:space="preserve"> de ju</w:t>
      </w:r>
      <w:r w:rsidR="00F708FC" w:rsidRPr="00E21B87">
        <w:rPr>
          <w:sz w:val="24"/>
          <w:szCs w:val="24"/>
        </w:rPr>
        <w:t>l</w:t>
      </w:r>
      <w:r w:rsidRPr="00E21B87">
        <w:rPr>
          <w:sz w:val="24"/>
          <w:szCs w:val="24"/>
        </w:rPr>
        <w:t>ho de 2022.</w:t>
      </w:r>
    </w:p>
    <w:p w14:paraId="07D1EC08" w14:textId="77777777" w:rsidR="00896292" w:rsidRPr="00E21B87" w:rsidRDefault="00896292" w:rsidP="00C6700D">
      <w:pPr>
        <w:spacing w:beforeLines="120" w:before="288" w:afterLines="120" w:after="288" w:line="360" w:lineRule="auto"/>
        <w:jc w:val="both"/>
        <w:rPr>
          <w:sz w:val="24"/>
          <w:szCs w:val="24"/>
        </w:rPr>
      </w:pPr>
    </w:p>
    <w:p w14:paraId="1B589E57" w14:textId="77777777" w:rsidR="00896292" w:rsidRPr="00E21B87" w:rsidRDefault="00896292" w:rsidP="00C6700D">
      <w:pPr>
        <w:spacing w:line="360" w:lineRule="auto"/>
        <w:jc w:val="center"/>
        <w:rPr>
          <w:sz w:val="24"/>
          <w:szCs w:val="24"/>
        </w:rPr>
      </w:pPr>
      <w:r w:rsidRPr="00E21B87">
        <w:rPr>
          <w:sz w:val="24"/>
          <w:szCs w:val="24"/>
        </w:rPr>
        <w:t>MARCELO PANOSSO MENDONÇA</w:t>
      </w:r>
    </w:p>
    <w:p w14:paraId="31BF2242" w14:textId="77777777" w:rsidR="00896292" w:rsidRDefault="00896292" w:rsidP="00C6700D">
      <w:pPr>
        <w:spacing w:line="360" w:lineRule="auto"/>
        <w:jc w:val="center"/>
        <w:rPr>
          <w:sz w:val="24"/>
          <w:szCs w:val="24"/>
        </w:rPr>
      </w:pPr>
      <w:r w:rsidRPr="00E21B87">
        <w:rPr>
          <w:sz w:val="24"/>
          <w:szCs w:val="24"/>
        </w:rPr>
        <w:t>Presidente Instituto de Previdência do Estado de Santa Catarina</w:t>
      </w:r>
    </w:p>
    <w:p w14:paraId="0C920FBA" w14:textId="77777777" w:rsidR="00501285" w:rsidRDefault="00501285" w:rsidP="00C6700D">
      <w:pPr>
        <w:spacing w:beforeLines="120" w:before="288" w:afterLines="120" w:after="288" w:line="360" w:lineRule="auto"/>
        <w:jc w:val="center"/>
        <w:rPr>
          <w:sz w:val="24"/>
          <w:szCs w:val="24"/>
        </w:rPr>
      </w:pPr>
    </w:p>
    <w:p w14:paraId="5A720C90" w14:textId="77777777" w:rsidR="00501285" w:rsidRPr="00A232A3" w:rsidRDefault="00501285" w:rsidP="00C6700D">
      <w:pPr>
        <w:tabs>
          <w:tab w:val="right" w:pos="8504"/>
        </w:tabs>
        <w:spacing w:beforeLines="120" w:before="288" w:afterLines="120" w:after="288" w:line="36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  </w:t>
      </w:r>
      <w:r w:rsidR="00471033">
        <w:rPr>
          <w:b/>
          <w:sz w:val="24"/>
          <w:szCs w:val="24"/>
        </w:rPr>
        <w:t xml:space="preserve">           </w:t>
      </w:r>
      <w:r w:rsidRPr="00A232A3">
        <w:rPr>
          <w:b/>
          <w:sz w:val="24"/>
          <w:szCs w:val="24"/>
        </w:rPr>
        <w:t>(REPUBLICAD</w:t>
      </w:r>
      <w:r>
        <w:rPr>
          <w:b/>
          <w:sz w:val="24"/>
          <w:szCs w:val="24"/>
        </w:rPr>
        <w:t>A</w:t>
      </w:r>
      <w:r w:rsidRPr="00A232A3">
        <w:rPr>
          <w:b/>
          <w:sz w:val="24"/>
          <w:szCs w:val="24"/>
        </w:rPr>
        <w:t xml:space="preserve"> POR INCORREÇÃO)</w:t>
      </w:r>
      <w:r w:rsidRPr="00A232A3">
        <w:rPr>
          <w:b/>
          <w:sz w:val="24"/>
          <w:szCs w:val="24"/>
        </w:rPr>
        <w:tab/>
      </w:r>
    </w:p>
    <w:p w14:paraId="6458E0C7" w14:textId="77777777" w:rsidR="00896292" w:rsidRPr="00E21B87" w:rsidRDefault="00896292" w:rsidP="00C6700D">
      <w:pPr>
        <w:spacing w:beforeLines="120" w:before="288" w:afterLines="120" w:after="288" w:line="360" w:lineRule="auto"/>
        <w:jc w:val="center"/>
        <w:rPr>
          <w:sz w:val="24"/>
          <w:szCs w:val="24"/>
        </w:rPr>
      </w:pPr>
    </w:p>
    <w:sectPr w:rsidR="00896292" w:rsidRPr="00E21B87" w:rsidSect="00471033">
      <w:headerReference w:type="default" r:id="rId9"/>
      <w:footerReference w:type="default" r:id="rId10"/>
      <w:pgSz w:w="11906" w:h="16838"/>
      <w:pgMar w:top="1981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0811" w14:textId="77777777" w:rsidR="00F20434" w:rsidRDefault="00F20434" w:rsidP="0090238F">
      <w:r>
        <w:separator/>
      </w:r>
    </w:p>
  </w:endnote>
  <w:endnote w:type="continuationSeparator" w:id="0">
    <w:p w14:paraId="7184E87E" w14:textId="77777777" w:rsidR="00F20434" w:rsidRDefault="00F20434" w:rsidP="0090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B285" w14:textId="77777777" w:rsidR="0090238F" w:rsidRPr="00B06FFB" w:rsidRDefault="00305599" w:rsidP="00305599">
    <w:pPr>
      <w:pStyle w:val="Rodap"/>
      <w:ind w:left="1416"/>
      <w:jc w:val="right"/>
      <w:rPr>
        <w:rFonts w:ascii="Montserrat" w:hAnsi="Montserrat" w:cstheme="minorHAnsi"/>
        <w:sz w:val="18"/>
        <w:szCs w:val="18"/>
      </w:rPr>
    </w:pPr>
    <w:r w:rsidRPr="00B06FFB">
      <w:rPr>
        <w:rFonts w:ascii="Montserrat" w:hAnsi="Montserrat" w:cstheme="minorHAnsi"/>
        <w:noProof/>
        <w:sz w:val="18"/>
        <w:szCs w:val="18"/>
        <w:lang w:val="pt-BR" w:eastAsia="pt-BR"/>
      </w:rPr>
      <w:drawing>
        <wp:anchor distT="0" distB="0" distL="114300" distR="114300" simplePos="0" relativeHeight="251659264" behindDoc="1" locked="0" layoutInCell="1" allowOverlap="1" wp14:anchorId="20634896" wp14:editId="1BE47810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1778400" cy="2260800"/>
          <wp:effectExtent l="0" t="0" r="0" b="6350"/>
          <wp:wrapNone/>
          <wp:docPr id="18" name="Imagem 18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2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6FFB">
      <w:rPr>
        <w:rFonts w:ascii="Montserrat" w:hAnsi="Montserrat" w:cstheme="minorHAnsi"/>
        <w:sz w:val="18"/>
        <w:szCs w:val="18"/>
      </w:rPr>
      <w:t xml:space="preserve">Rua Visconde de Ouro Preto, 291 </w:t>
    </w:r>
    <w:r w:rsidRPr="00B06FFB">
      <w:rPr>
        <w:rFonts w:ascii="Montserrat" w:hAnsi="Montserrat" w:cstheme="minorHAnsi"/>
        <w:sz w:val="18"/>
        <w:szCs w:val="18"/>
      </w:rPr>
      <w:br/>
      <w:t>Centro - Florianópolis/SC - CEP 88020-040</w:t>
    </w:r>
    <w:r w:rsidRPr="00B06FFB">
      <w:rPr>
        <w:rFonts w:ascii="Montserrat" w:hAnsi="Montserrat" w:cstheme="minorHAnsi"/>
        <w:sz w:val="18"/>
        <w:szCs w:val="18"/>
      </w:rPr>
      <w:br/>
      <w:t xml:space="preserve">Fone 48 </w:t>
    </w:r>
    <w:r w:rsidR="00B76AB6" w:rsidRPr="00B06FFB">
      <w:rPr>
        <w:rFonts w:ascii="Montserrat" w:hAnsi="Montserrat" w:cstheme="minorHAnsi"/>
        <w:sz w:val="18"/>
        <w:szCs w:val="18"/>
      </w:rPr>
      <w:t>3665.4600</w:t>
    </w:r>
    <w:r w:rsidRPr="00B06FFB">
      <w:rPr>
        <w:rFonts w:ascii="Montserrat" w:hAnsi="Montserrat" w:cstheme="minorHAnsi"/>
        <w:sz w:val="18"/>
        <w:szCs w:val="18"/>
      </w:rPr>
      <w:t xml:space="preserve"> | </w:t>
    </w:r>
    <w:hyperlink r:id="rId2" w:history="1">
      <w:r w:rsidRPr="00B06FFB">
        <w:rPr>
          <w:rStyle w:val="Hyperlink"/>
          <w:rFonts w:ascii="Montserrat" w:hAnsi="Montserrat" w:cstheme="minorHAnsi"/>
          <w:sz w:val="18"/>
          <w:szCs w:val="18"/>
        </w:rPr>
        <w:t>www.iprev.sc.gov.br</w:t>
      </w:r>
    </w:hyperlink>
    <w:r w:rsidRPr="00B06FFB">
      <w:rPr>
        <w:rFonts w:ascii="Montserrat" w:hAnsi="Montserrat" w:cstheme="minorHAnsi"/>
        <w:sz w:val="18"/>
        <w:szCs w:val="18"/>
      </w:rPr>
      <w:t xml:space="preserve"> | iprev@iprev.sc.gov.br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4517" w14:textId="77777777" w:rsidR="00F20434" w:rsidRDefault="00F20434" w:rsidP="0090238F">
      <w:r>
        <w:separator/>
      </w:r>
    </w:p>
  </w:footnote>
  <w:footnote w:type="continuationSeparator" w:id="0">
    <w:p w14:paraId="6E9A9DA9" w14:textId="77777777" w:rsidR="00F20434" w:rsidRDefault="00F20434" w:rsidP="0090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A6A3" w14:textId="77777777" w:rsidR="00ED7573" w:rsidRPr="00E21B87" w:rsidRDefault="00ED7573" w:rsidP="00E21B87">
    <w:pPr>
      <w:pStyle w:val="Cabealho"/>
      <w:tabs>
        <w:tab w:val="left" w:pos="1530"/>
      </w:tabs>
      <w:rPr>
        <w:rFonts w:ascii="Montserrat" w:hAnsi="Montserrat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31AA849" wp14:editId="20B6D056">
          <wp:simplePos x="0" y="0"/>
          <wp:positionH relativeFrom="margin">
            <wp:posOffset>-800735</wp:posOffset>
          </wp:positionH>
          <wp:positionV relativeFrom="paragraph">
            <wp:posOffset>-547370</wp:posOffset>
          </wp:positionV>
          <wp:extent cx="7000875" cy="1350645"/>
          <wp:effectExtent l="0" t="0" r="9525" b="1905"/>
          <wp:wrapNone/>
          <wp:docPr id="17" name="Imagem 1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35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B87">
      <w:t xml:space="preserve">                  </w:t>
    </w:r>
    <w:r w:rsidRPr="005A1603">
      <w:rPr>
        <w:rFonts w:ascii="Montserrat" w:hAnsi="Montserrat"/>
        <w:sz w:val="20"/>
        <w:szCs w:val="20"/>
      </w:rPr>
      <w:t>ESTADO DE SANTA CATARINA</w:t>
    </w:r>
  </w:p>
  <w:p w14:paraId="71BAA636" w14:textId="77777777" w:rsidR="00E21B87" w:rsidRPr="009872EE" w:rsidRDefault="00E21B87" w:rsidP="00E21B87">
    <w:pPr>
      <w:pStyle w:val="Cabealho"/>
      <w:tabs>
        <w:tab w:val="left" w:pos="1530"/>
      </w:tabs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             </w:t>
    </w:r>
    <w:r w:rsidRPr="009872EE">
      <w:rPr>
        <w:rFonts w:ascii="Montserrat" w:hAnsi="Montserrat"/>
        <w:sz w:val="20"/>
        <w:szCs w:val="20"/>
      </w:rPr>
      <w:t>SECRETARIA DE ESTADO DA ADMINISTRAÇÃO</w:t>
    </w:r>
  </w:p>
  <w:p w14:paraId="20874E25" w14:textId="77777777" w:rsidR="00E21B87" w:rsidRPr="009872EE" w:rsidRDefault="00E21B87" w:rsidP="00E21B87">
    <w:pPr>
      <w:pStyle w:val="Cabealho"/>
      <w:tabs>
        <w:tab w:val="left" w:pos="1530"/>
      </w:tabs>
      <w:rPr>
        <w:rFonts w:ascii="Montserrat" w:hAnsi="Montserrat"/>
        <w:sz w:val="20"/>
        <w:szCs w:val="20"/>
      </w:rPr>
    </w:pPr>
    <w:r w:rsidRPr="009872EE">
      <w:rPr>
        <w:rFonts w:ascii="Montserrat" w:hAnsi="Montserrat"/>
        <w:sz w:val="20"/>
        <w:szCs w:val="20"/>
      </w:rPr>
      <w:t xml:space="preserve">                    </w:t>
    </w:r>
    <w:r w:rsidR="00ED7573" w:rsidRPr="009872EE">
      <w:rPr>
        <w:rFonts w:ascii="Montserrat" w:hAnsi="Montserrat"/>
        <w:sz w:val="20"/>
        <w:szCs w:val="20"/>
      </w:rPr>
      <w:t>INSTITUTO DE PREVID</w:t>
    </w:r>
    <w:r w:rsidR="00B76AB6" w:rsidRPr="009872EE">
      <w:rPr>
        <w:rFonts w:ascii="Montserrat" w:hAnsi="Montserrat"/>
        <w:sz w:val="20"/>
        <w:szCs w:val="20"/>
      </w:rPr>
      <w:t>Ê</w:t>
    </w:r>
    <w:r w:rsidR="00ED7573" w:rsidRPr="009872EE">
      <w:rPr>
        <w:rFonts w:ascii="Montserrat" w:hAnsi="Montserrat"/>
        <w:sz w:val="20"/>
        <w:szCs w:val="20"/>
      </w:rPr>
      <w:t>NCIA D</w:t>
    </w:r>
    <w:r w:rsidR="00B76AB6" w:rsidRPr="009872EE">
      <w:rPr>
        <w:rFonts w:ascii="Montserrat" w:hAnsi="Montserrat"/>
        <w:sz w:val="20"/>
        <w:szCs w:val="20"/>
      </w:rPr>
      <w:t>O ESTADO DE</w:t>
    </w:r>
    <w:r w:rsidR="00ED7573" w:rsidRPr="009872EE">
      <w:rPr>
        <w:rFonts w:ascii="Montserrat" w:hAnsi="Montserrat"/>
        <w:sz w:val="20"/>
        <w:szCs w:val="20"/>
      </w:rPr>
      <w:t xml:space="preserve"> SANTA CATARINA</w:t>
    </w:r>
    <w:r w:rsidRPr="009872EE">
      <w:rPr>
        <w:rFonts w:ascii="Montserrat" w:hAnsi="Montserrat"/>
        <w:sz w:val="20"/>
        <w:szCs w:val="20"/>
      </w:rPr>
      <w:t xml:space="preserve"> </w:t>
    </w:r>
  </w:p>
  <w:p w14:paraId="01CDA3E8" w14:textId="77777777" w:rsidR="0090238F" w:rsidRDefault="00E21B87" w:rsidP="00E21B87">
    <w:pPr>
      <w:pStyle w:val="Cabealho"/>
      <w:tabs>
        <w:tab w:val="left" w:pos="1530"/>
      </w:tabs>
    </w:pPr>
    <w:r w:rsidRPr="009872EE">
      <w:rPr>
        <w:rFonts w:ascii="Montserrat" w:hAnsi="Montserrat"/>
        <w:sz w:val="20"/>
        <w:szCs w:val="20"/>
      </w:rPr>
      <w:t xml:space="preserve">                    GABINETE DA PRESIDÊNCIA</w:t>
    </w:r>
    <w:r w:rsidR="00ED75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353"/>
    <w:multiLevelType w:val="hybridMultilevel"/>
    <w:tmpl w:val="5D6A1712"/>
    <w:lvl w:ilvl="0" w:tplc="4A0E77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40C23"/>
    <w:multiLevelType w:val="hybridMultilevel"/>
    <w:tmpl w:val="9CB2CECC"/>
    <w:lvl w:ilvl="0" w:tplc="4A88B95C">
      <w:start w:val="1"/>
      <w:numFmt w:val="lowerLetter"/>
      <w:lvlText w:val="%1.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2DCA6841"/>
    <w:multiLevelType w:val="hybridMultilevel"/>
    <w:tmpl w:val="AEC66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4DA"/>
    <w:multiLevelType w:val="hybridMultilevel"/>
    <w:tmpl w:val="8D4C1B86"/>
    <w:lvl w:ilvl="0" w:tplc="4AB8E35E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FF00B3C">
      <w:numFmt w:val="bullet"/>
      <w:lvlText w:val="•"/>
      <w:lvlJc w:val="left"/>
      <w:pPr>
        <w:ind w:left="2366" w:hanging="140"/>
      </w:pPr>
      <w:rPr>
        <w:rFonts w:hint="default"/>
        <w:lang w:val="pt-PT" w:eastAsia="en-US" w:bidi="ar-SA"/>
      </w:rPr>
    </w:lvl>
    <w:lvl w:ilvl="2" w:tplc="7020D36C">
      <w:numFmt w:val="bullet"/>
      <w:lvlText w:val="•"/>
      <w:lvlJc w:val="left"/>
      <w:pPr>
        <w:ind w:left="3073" w:hanging="140"/>
      </w:pPr>
      <w:rPr>
        <w:rFonts w:hint="default"/>
        <w:lang w:val="pt-PT" w:eastAsia="en-US" w:bidi="ar-SA"/>
      </w:rPr>
    </w:lvl>
    <w:lvl w:ilvl="3" w:tplc="4DE48D5A">
      <w:numFmt w:val="bullet"/>
      <w:lvlText w:val="•"/>
      <w:lvlJc w:val="left"/>
      <w:pPr>
        <w:ind w:left="3779" w:hanging="140"/>
      </w:pPr>
      <w:rPr>
        <w:rFonts w:hint="default"/>
        <w:lang w:val="pt-PT" w:eastAsia="en-US" w:bidi="ar-SA"/>
      </w:rPr>
    </w:lvl>
    <w:lvl w:ilvl="4" w:tplc="38D82FF6">
      <w:numFmt w:val="bullet"/>
      <w:lvlText w:val="•"/>
      <w:lvlJc w:val="left"/>
      <w:pPr>
        <w:ind w:left="4486" w:hanging="140"/>
      </w:pPr>
      <w:rPr>
        <w:rFonts w:hint="default"/>
        <w:lang w:val="pt-PT" w:eastAsia="en-US" w:bidi="ar-SA"/>
      </w:rPr>
    </w:lvl>
    <w:lvl w:ilvl="5" w:tplc="49744E5C">
      <w:numFmt w:val="bullet"/>
      <w:lvlText w:val="•"/>
      <w:lvlJc w:val="left"/>
      <w:pPr>
        <w:ind w:left="5193" w:hanging="140"/>
      </w:pPr>
      <w:rPr>
        <w:rFonts w:hint="default"/>
        <w:lang w:val="pt-PT" w:eastAsia="en-US" w:bidi="ar-SA"/>
      </w:rPr>
    </w:lvl>
    <w:lvl w:ilvl="6" w:tplc="725C99F8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6836591E">
      <w:numFmt w:val="bullet"/>
      <w:lvlText w:val="•"/>
      <w:lvlJc w:val="left"/>
      <w:pPr>
        <w:ind w:left="6606" w:hanging="140"/>
      </w:pPr>
      <w:rPr>
        <w:rFonts w:hint="default"/>
        <w:lang w:val="pt-PT" w:eastAsia="en-US" w:bidi="ar-SA"/>
      </w:rPr>
    </w:lvl>
    <w:lvl w:ilvl="8" w:tplc="2648E66C">
      <w:numFmt w:val="bullet"/>
      <w:lvlText w:val="•"/>
      <w:lvlJc w:val="left"/>
      <w:pPr>
        <w:ind w:left="7313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45EA6E0A"/>
    <w:multiLevelType w:val="hybridMultilevel"/>
    <w:tmpl w:val="9CB2CECC"/>
    <w:lvl w:ilvl="0" w:tplc="FFFFFFFF">
      <w:start w:val="1"/>
      <w:numFmt w:val="lowerLetter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6" w:hanging="360"/>
      </w:pPr>
    </w:lvl>
    <w:lvl w:ilvl="2" w:tplc="FFFFFFFF" w:tentative="1">
      <w:start w:val="1"/>
      <w:numFmt w:val="lowerRoman"/>
      <w:lvlText w:val="%3."/>
      <w:lvlJc w:val="right"/>
      <w:pPr>
        <w:ind w:left="3926" w:hanging="180"/>
      </w:pPr>
    </w:lvl>
    <w:lvl w:ilvl="3" w:tplc="FFFFFFFF" w:tentative="1">
      <w:start w:val="1"/>
      <w:numFmt w:val="decimal"/>
      <w:lvlText w:val="%4."/>
      <w:lvlJc w:val="left"/>
      <w:pPr>
        <w:ind w:left="4646" w:hanging="360"/>
      </w:pPr>
    </w:lvl>
    <w:lvl w:ilvl="4" w:tplc="FFFFFFFF" w:tentative="1">
      <w:start w:val="1"/>
      <w:numFmt w:val="lowerLetter"/>
      <w:lvlText w:val="%5."/>
      <w:lvlJc w:val="left"/>
      <w:pPr>
        <w:ind w:left="5366" w:hanging="360"/>
      </w:pPr>
    </w:lvl>
    <w:lvl w:ilvl="5" w:tplc="FFFFFFFF" w:tentative="1">
      <w:start w:val="1"/>
      <w:numFmt w:val="lowerRoman"/>
      <w:lvlText w:val="%6."/>
      <w:lvlJc w:val="right"/>
      <w:pPr>
        <w:ind w:left="6086" w:hanging="180"/>
      </w:pPr>
    </w:lvl>
    <w:lvl w:ilvl="6" w:tplc="FFFFFFFF" w:tentative="1">
      <w:start w:val="1"/>
      <w:numFmt w:val="decimal"/>
      <w:lvlText w:val="%7."/>
      <w:lvlJc w:val="left"/>
      <w:pPr>
        <w:ind w:left="6806" w:hanging="360"/>
      </w:pPr>
    </w:lvl>
    <w:lvl w:ilvl="7" w:tplc="FFFFFFFF" w:tentative="1">
      <w:start w:val="1"/>
      <w:numFmt w:val="lowerLetter"/>
      <w:lvlText w:val="%8."/>
      <w:lvlJc w:val="left"/>
      <w:pPr>
        <w:ind w:left="7526" w:hanging="360"/>
      </w:pPr>
    </w:lvl>
    <w:lvl w:ilvl="8" w:tplc="FFFFFFFF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746E0211"/>
    <w:multiLevelType w:val="hybridMultilevel"/>
    <w:tmpl w:val="9E9A1D2E"/>
    <w:lvl w:ilvl="0" w:tplc="FFFFFFFF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77" w:hanging="360"/>
      </w:pPr>
    </w:lvl>
    <w:lvl w:ilvl="2" w:tplc="FFFFFFFF" w:tentative="1">
      <w:start w:val="1"/>
      <w:numFmt w:val="lowerRoman"/>
      <w:lvlText w:val="%3."/>
      <w:lvlJc w:val="right"/>
      <w:pPr>
        <w:ind w:left="3597" w:hanging="180"/>
      </w:pPr>
    </w:lvl>
    <w:lvl w:ilvl="3" w:tplc="FFFFFFFF" w:tentative="1">
      <w:start w:val="1"/>
      <w:numFmt w:val="decimal"/>
      <w:lvlText w:val="%4."/>
      <w:lvlJc w:val="left"/>
      <w:pPr>
        <w:ind w:left="4317" w:hanging="360"/>
      </w:pPr>
    </w:lvl>
    <w:lvl w:ilvl="4" w:tplc="FFFFFFFF" w:tentative="1">
      <w:start w:val="1"/>
      <w:numFmt w:val="lowerLetter"/>
      <w:lvlText w:val="%5."/>
      <w:lvlJc w:val="left"/>
      <w:pPr>
        <w:ind w:left="5037" w:hanging="360"/>
      </w:pPr>
    </w:lvl>
    <w:lvl w:ilvl="5" w:tplc="FFFFFFFF" w:tentative="1">
      <w:start w:val="1"/>
      <w:numFmt w:val="lowerRoman"/>
      <w:lvlText w:val="%6."/>
      <w:lvlJc w:val="right"/>
      <w:pPr>
        <w:ind w:left="5757" w:hanging="180"/>
      </w:pPr>
    </w:lvl>
    <w:lvl w:ilvl="6" w:tplc="FFFFFFFF" w:tentative="1">
      <w:start w:val="1"/>
      <w:numFmt w:val="decimal"/>
      <w:lvlText w:val="%7."/>
      <w:lvlJc w:val="left"/>
      <w:pPr>
        <w:ind w:left="6477" w:hanging="360"/>
      </w:pPr>
    </w:lvl>
    <w:lvl w:ilvl="7" w:tplc="FFFFFFFF" w:tentative="1">
      <w:start w:val="1"/>
      <w:numFmt w:val="lowerLetter"/>
      <w:lvlText w:val="%8."/>
      <w:lvlJc w:val="left"/>
      <w:pPr>
        <w:ind w:left="7197" w:hanging="360"/>
      </w:pPr>
    </w:lvl>
    <w:lvl w:ilvl="8" w:tplc="FFFFFFFF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 w15:restartNumberingAfterBreak="0">
    <w:nsid w:val="78AC21A2"/>
    <w:multiLevelType w:val="hybridMultilevel"/>
    <w:tmpl w:val="9E9A1D2E"/>
    <w:lvl w:ilvl="0" w:tplc="55FC2AC8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num w:numId="1" w16cid:durableId="92827948">
    <w:abstractNumId w:val="2"/>
  </w:num>
  <w:num w:numId="2" w16cid:durableId="1480226843">
    <w:abstractNumId w:val="6"/>
  </w:num>
  <w:num w:numId="3" w16cid:durableId="720403964">
    <w:abstractNumId w:val="0"/>
  </w:num>
  <w:num w:numId="4" w16cid:durableId="1151600416">
    <w:abstractNumId w:val="5"/>
  </w:num>
  <w:num w:numId="5" w16cid:durableId="335546149">
    <w:abstractNumId w:val="1"/>
  </w:num>
  <w:num w:numId="6" w16cid:durableId="1181161877">
    <w:abstractNumId w:val="4"/>
  </w:num>
  <w:num w:numId="7" w16cid:durableId="614557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8F"/>
    <w:rsid w:val="00010A78"/>
    <w:rsid w:val="000116A8"/>
    <w:rsid w:val="00012F54"/>
    <w:rsid w:val="000148AB"/>
    <w:rsid w:val="00042046"/>
    <w:rsid w:val="00052C66"/>
    <w:rsid w:val="0008067B"/>
    <w:rsid w:val="00161115"/>
    <w:rsid w:val="001A76BB"/>
    <w:rsid w:val="00222A27"/>
    <w:rsid w:val="0022497C"/>
    <w:rsid w:val="00224D44"/>
    <w:rsid w:val="002F54E2"/>
    <w:rsid w:val="00305599"/>
    <w:rsid w:val="00320B91"/>
    <w:rsid w:val="0032337B"/>
    <w:rsid w:val="003274C5"/>
    <w:rsid w:val="00332424"/>
    <w:rsid w:val="00353E6B"/>
    <w:rsid w:val="00362027"/>
    <w:rsid w:val="0041589C"/>
    <w:rsid w:val="004221B9"/>
    <w:rsid w:val="00422C88"/>
    <w:rsid w:val="00442F08"/>
    <w:rsid w:val="00451668"/>
    <w:rsid w:val="00471033"/>
    <w:rsid w:val="00476ADD"/>
    <w:rsid w:val="00495E2F"/>
    <w:rsid w:val="004B2376"/>
    <w:rsid w:val="004C71C7"/>
    <w:rsid w:val="004F2F43"/>
    <w:rsid w:val="004F56EF"/>
    <w:rsid w:val="00501285"/>
    <w:rsid w:val="005031BB"/>
    <w:rsid w:val="0053010F"/>
    <w:rsid w:val="0053256E"/>
    <w:rsid w:val="00555F6C"/>
    <w:rsid w:val="0055790E"/>
    <w:rsid w:val="005A1603"/>
    <w:rsid w:val="005C000D"/>
    <w:rsid w:val="005C5BE0"/>
    <w:rsid w:val="005E132D"/>
    <w:rsid w:val="005F4725"/>
    <w:rsid w:val="00636B3A"/>
    <w:rsid w:val="006754D6"/>
    <w:rsid w:val="006C76A6"/>
    <w:rsid w:val="00736F2E"/>
    <w:rsid w:val="007430EC"/>
    <w:rsid w:val="007614A7"/>
    <w:rsid w:val="00777990"/>
    <w:rsid w:val="007E3572"/>
    <w:rsid w:val="007E674A"/>
    <w:rsid w:val="007F374C"/>
    <w:rsid w:val="00820DD1"/>
    <w:rsid w:val="00824286"/>
    <w:rsid w:val="00836EA0"/>
    <w:rsid w:val="0084555B"/>
    <w:rsid w:val="0086683A"/>
    <w:rsid w:val="00872B2F"/>
    <w:rsid w:val="00896292"/>
    <w:rsid w:val="008A3AEC"/>
    <w:rsid w:val="008E7933"/>
    <w:rsid w:val="00901721"/>
    <w:rsid w:val="0090238F"/>
    <w:rsid w:val="00907C41"/>
    <w:rsid w:val="00931CAA"/>
    <w:rsid w:val="00974D4C"/>
    <w:rsid w:val="009872EE"/>
    <w:rsid w:val="009A42A5"/>
    <w:rsid w:val="009B3045"/>
    <w:rsid w:val="009B7A48"/>
    <w:rsid w:val="00A27464"/>
    <w:rsid w:val="00A32974"/>
    <w:rsid w:val="00A5102B"/>
    <w:rsid w:val="00A94FB4"/>
    <w:rsid w:val="00AB04AB"/>
    <w:rsid w:val="00AD7CA6"/>
    <w:rsid w:val="00AE2E4E"/>
    <w:rsid w:val="00AF2E7B"/>
    <w:rsid w:val="00B06FFB"/>
    <w:rsid w:val="00B15EDE"/>
    <w:rsid w:val="00B332AC"/>
    <w:rsid w:val="00B36594"/>
    <w:rsid w:val="00B45DA3"/>
    <w:rsid w:val="00B662F6"/>
    <w:rsid w:val="00B76AB6"/>
    <w:rsid w:val="00BF284F"/>
    <w:rsid w:val="00C14A4E"/>
    <w:rsid w:val="00C6700D"/>
    <w:rsid w:val="00CB2A87"/>
    <w:rsid w:val="00D017F4"/>
    <w:rsid w:val="00D54296"/>
    <w:rsid w:val="00D57695"/>
    <w:rsid w:val="00D57ED7"/>
    <w:rsid w:val="00DA7210"/>
    <w:rsid w:val="00DB40FF"/>
    <w:rsid w:val="00DD2885"/>
    <w:rsid w:val="00DF40CD"/>
    <w:rsid w:val="00E21B87"/>
    <w:rsid w:val="00E505B0"/>
    <w:rsid w:val="00E6060F"/>
    <w:rsid w:val="00E869A4"/>
    <w:rsid w:val="00E918BA"/>
    <w:rsid w:val="00EA24F5"/>
    <w:rsid w:val="00EA2B3E"/>
    <w:rsid w:val="00ED7573"/>
    <w:rsid w:val="00EF6238"/>
    <w:rsid w:val="00EF663D"/>
    <w:rsid w:val="00F056A6"/>
    <w:rsid w:val="00F15D66"/>
    <w:rsid w:val="00F20434"/>
    <w:rsid w:val="00F401CE"/>
    <w:rsid w:val="00F708FC"/>
    <w:rsid w:val="00FC1A5F"/>
    <w:rsid w:val="00FC4BEF"/>
    <w:rsid w:val="00FD595A"/>
    <w:rsid w:val="00FE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258D8"/>
  <w15:docId w15:val="{95828FDB-DE07-4436-91D3-50DDF45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1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238F"/>
  </w:style>
  <w:style w:type="paragraph" w:styleId="Rodap">
    <w:name w:val="footer"/>
    <w:basedOn w:val="Normal"/>
    <w:link w:val="RodapChar"/>
    <w:uiPriority w:val="99"/>
    <w:unhideWhenUsed/>
    <w:rsid w:val="009023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238F"/>
  </w:style>
  <w:style w:type="character" w:styleId="Hyperlink">
    <w:name w:val="Hyperlink"/>
    <w:basedOn w:val="Fontepargpadro"/>
    <w:uiPriority w:val="99"/>
    <w:unhideWhenUsed/>
    <w:rsid w:val="003055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559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E132D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E13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5E132D"/>
    <w:pPr>
      <w:ind w:left="222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5E132D"/>
    <w:pPr>
      <w:ind w:left="4072" w:right="120"/>
      <w:jc w:val="both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5E132D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332424"/>
    <w:pPr>
      <w:ind w:left="102" w:firstLine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gov.br/servicos/detalhe/protocolo-digi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gov.br/servicos/detalhe/protocolo-dig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ev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 silveira coimbra</dc:creator>
  <cp:lastModifiedBy>Daniel Rebhaim da silva</cp:lastModifiedBy>
  <cp:revision>5</cp:revision>
  <dcterms:created xsi:type="dcterms:W3CDTF">2022-08-30T20:57:00Z</dcterms:created>
  <dcterms:modified xsi:type="dcterms:W3CDTF">2022-09-01T15:08:00Z</dcterms:modified>
</cp:coreProperties>
</file>