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1" w:rsidRDefault="00436901">
      <w:pPr>
        <w:pStyle w:val="Ttulo1"/>
        <w:spacing w:before="97" w:line="267" w:lineRule="exact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-3810</wp:posOffset>
            </wp:positionV>
            <wp:extent cx="506095" cy="707390"/>
            <wp:effectExtent l="1905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A61">
        <w:rPr>
          <w:w w:val="90"/>
        </w:rPr>
        <w:t>ESTADO DE SANTA CATARINA</w:t>
      </w:r>
    </w:p>
    <w:p w:rsidR="009C3A61" w:rsidRDefault="009C3A61">
      <w:pPr>
        <w:spacing w:line="267" w:lineRule="exact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Secretaria de Estado da Administração</w:t>
      </w:r>
    </w:p>
    <w:p w:rsidR="009C3A61" w:rsidRDefault="009C3A61">
      <w:pPr>
        <w:spacing w:before="1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Instituto de Previdência do Estado de Santa Catarina</w:t>
      </w:r>
    </w:p>
    <w:p w:rsidR="009C3A61" w:rsidRDefault="009C3A61">
      <w:pPr>
        <w:pStyle w:val="Corpodetexto"/>
        <w:rPr>
          <w:rFonts w:ascii="Verdana"/>
          <w:b w:val="0"/>
          <w:sz w:val="26"/>
        </w:rPr>
      </w:pPr>
    </w:p>
    <w:p w:rsidR="009C3A61" w:rsidRDefault="009C3A61">
      <w:pPr>
        <w:spacing w:before="191"/>
        <w:ind w:left="2577" w:right="2580"/>
        <w:jc w:val="center"/>
      </w:pPr>
      <w:r>
        <w:rPr>
          <w:w w:val="115"/>
        </w:rPr>
        <w:t>HABILITAÇÃO DE PENSIONISTA</w:t>
      </w:r>
    </w:p>
    <w:p w:rsidR="009C3A61" w:rsidRDefault="009C3A61">
      <w:pPr>
        <w:spacing w:before="1"/>
        <w:ind w:left="2577" w:right="2579"/>
        <w:jc w:val="center"/>
      </w:pPr>
      <w:r>
        <w:t>Listagem de Documentos</w:t>
      </w:r>
    </w:p>
    <w:p w:rsidR="009C3A61" w:rsidRDefault="009C3A61">
      <w:pPr>
        <w:spacing w:before="192"/>
        <w:ind w:left="2577" w:right="2582"/>
        <w:jc w:val="center"/>
        <w:rPr>
          <w:sz w:val="24"/>
        </w:rPr>
      </w:pPr>
      <w:r>
        <w:rPr>
          <w:w w:val="120"/>
          <w:sz w:val="24"/>
        </w:rPr>
        <w:t>Anexo II – Filho Solteiro Maior Inválido</w:t>
      </w:r>
    </w:p>
    <w:p w:rsidR="009C3A61" w:rsidRDefault="009C3A61">
      <w:pPr>
        <w:spacing w:before="5" w:after="1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9C3A61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40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Instituidor da Pensão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Requerimento de Pensão/IPREV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óbito do ex-segurado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ex-segurado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Último contracheque, caso ex-segurado do Poder Executivo</w:t>
            </w:r>
          </w:p>
        </w:tc>
      </w:tr>
      <w:tr w:rsidR="009C3A61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Três últimos contracheques, caso ex-segurado do Tribunal de Justiça, Assembléia Legislativa ou Tribunal de Contas.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ativo à data do óbito: ficha funcional </w:t>
            </w:r>
            <w:r>
              <w:rPr>
                <w:i/>
                <w:sz w:val="17"/>
              </w:rPr>
              <w:t>(autenticada pelo órgão expedidor)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inativo à data do óbito: ato de aposentadoria </w:t>
            </w:r>
            <w:r>
              <w:rPr>
                <w:i/>
                <w:sz w:val="17"/>
              </w:rPr>
              <w:t>(autenticado pelo órgão expedidor)</w:t>
            </w:r>
          </w:p>
        </w:tc>
      </w:tr>
      <w:tr w:rsidR="009C3A61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53"/>
              <w:ind w:left="126" w:right="692"/>
              <w:rPr>
                <w:sz w:val="20"/>
              </w:rPr>
            </w:pPr>
            <w:r>
              <w:rPr>
                <w:sz w:val="20"/>
              </w:rPr>
              <w:t>Informação do instituidor da pensão da Base AI: Tribunal de Justiça, Assembléia Legislativa ou Tribunal de Contas.</w:t>
            </w:r>
          </w:p>
        </w:tc>
      </w:tr>
      <w:tr w:rsidR="009C3A61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41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Dependente / Requerente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254" w:type="dxa"/>
          </w:tcPr>
          <w:p w:rsidR="009C3A61" w:rsidRDefault="004369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Declaração de acumulo de benefícios previdenciários(Modelo fornecido pelo IPREV)</w:t>
            </w:r>
          </w:p>
        </w:tc>
      </w:tr>
      <w:tr w:rsidR="0043690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436901" w:rsidRDefault="0043690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9254" w:type="dxa"/>
          </w:tcPr>
          <w:p w:rsidR="00436901" w:rsidRDefault="004369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nascimento do dependente inválido, com data atual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dependente</w:t>
            </w:r>
          </w:p>
        </w:tc>
      </w:tr>
      <w:tr w:rsidR="009C3A61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53"/>
              <w:ind w:right="365" w:hanging="1"/>
              <w:rPr>
                <w:sz w:val="20"/>
              </w:rPr>
            </w:pPr>
            <w:r>
              <w:rPr>
                <w:sz w:val="20"/>
              </w:rPr>
              <w:t>Atestado ou laudo médico, declaração de internação hospitalar, se houver, comprovante de tratamento atual ou anterior, exames complementares e outros, emitidos pelo médico responsável</w:t>
            </w:r>
          </w:p>
        </w:tc>
      </w:tr>
      <w:tr w:rsidR="009C3A61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Histórico clínico da evolução da doença, emitido pelo médico responsável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Relatório de inspeção médica para fins previdenciários </w:t>
            </w:r>
            <w:r>
              <w:rPr>
                <w:i/>
                <w:sz w:val="17"/>
              </w:rPr>
              <w:t>(modelo fornecido pelo IPREV)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5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Declaração de dependência econômica </w:t>
            </w:r>
            <w:r>
              <w:rPr>
                <w:i/>
                <w:sz w:val="17"/>
              </w:rPr>
              <w:t>(modelo fornecido pelo IPREV)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6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Certidão negativa de benefícios e de contribuição do INSS </w:t>
            </w:r>
            <w:r>
              <w:rPr>
                <w:i/>
                <w:sz w:val="17"/>
              </w:rPr>
              <w:t>(pode ser suprida pelo item 16)</w:t>
            </w:r>
          </w:p>
        </w:tc>
      </w:tr>
      <w:tr w:rsidR="009C3A61">
        <w:trPr>
          <w:trHeight w:val="538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7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65" w:line="225" w:lineRule="auto"/>
              <w:ind w:right="365" w:hanging="1"/>
              <w:rPr>
                <w:i/>
                <w:sz w:val="17"/>
              </w:rPr>
            </w:pPr>
            <w:r>
              <w:rPr>
                <w:sz w:val="20"/>
              </w:rPr>
              <w:t>Declaração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recebe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i/>
                <w:sz w:val="17"/>
              </w:rPr>
              <w:t>(modelo</w:t>
            </w:r>
            <w:r>
              <w:rPr>
                <w:i/>
                <w:spacing w:val="-19"/>
                <w:sz w:val="17"/>
              </w:rPr>
              <w:t xml:space="preserve"> </w:t>
            </w:r>
            <w:r>
              <w:rPr>
                <w:i/>
                <w:sz w:val="17"/>
              </w:rPr>
              <w:t>fornecido</w:t>
            </w:r>
            <w:r>
              <w:rPr>
                <w:i/>
                <w:spacing w:val="-20"/>
                <w:sz w:val="17"/>
              </w:rPr>
              <w:t xml:space="preserve"> </w:t>
            </w:r>
            <w:r>
              <w:rPr>
                <w:i/>
                <w:sz w:val="17"/>
              </w:rPr>
              <w:t>pelo</w:t>
            </w:r>
            <w:r>
              <w:rPr>
                <w:i/>
                <w:spacing w:val="-21"/>
                <w:sz w:val="17"/>
              </w:rPr>
              <w:t xml:space="preserve"> </w:t>
            </w:r>
            <w:r>
              <w:rPr>
                <w:i/>
                <w:sz w:val="17"/>
              </w:rPr>
              <w:t>IPREV)</w:t>
            </w:r>
            <w:r>
              <w:rPr>
                <w:i/>
                <w:spacing w:val="-21"/>
                <w:sz w:val="17"/>
              </w:rPr>
              <w:t xml:space="preserve"> </w:t>
            </w:r>
            <w:r>
              <w:rPr>
                <w:i/>
                <w:sz w:val="17"/>
              </w:rPr>
              <w:t>(obrigatória</w:t>
            </w:r>
            <w:r>
              <w:rPr>
                <w:i/>
                <w:spacing w:val="-20"/>
                <w:sz w:val="17"/>
              </w:rPr>
              <w:t xml:space="preserve"> </w:t>
            </w:r>
            <w:r>
              <w:rPr>
                <w:i/>
                <w:sz w:val="17"/>
              </w:rPr>
              <w:t>na</w:t>
            </w:r>
            <w:r>
              <w:rPr>
                <w:i/>
                <w:spacing w:val="-20"/>
                <w:sz w:val="17"/>
              </w:rPr>
              <w:t xml:space="preserve"> </w:t>
            </w:r>
            <w:r>
              <w:rPr>
                <w:i/>
                <w:sz w:val="17"/>
              </w:rPr>
              <w:t>ausência</w:t>
            </w:r>
            <w:r>
              <w:rPr>
                <w:i/>
                <w:spacing w:val="-21"/>
                <w:sz w:val="17"/>
              </w:rPr>
              <w:t xml:space="preserve"> </w:t>
            </w:r>
            <w:r>
              <w:rPr>
                <w:i/>
                <w:sz w:val="17"/>
              </w:rPr>
              <w:t>do</w:t>
            </w:r>
            <w:r>
              <w:rPr>
                <w:i/>
                <w:spacing w:val="-20"/>
                <w:sz w:val="17"/>
              </w:rPr>
              <w:t xml:space="preserve"> </w:t>
            </w:r>
            <w:r>
              <w:rPr>
                <w:i/>
                <w:sz w:val="17"/>
              </w:rPr>
              <w:t>item 15)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8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Certidão negativa de pensão especial do Estado </w:t>
            </w:r>
            <w:r>
              <w:rPr>
                <w:i/>
                <w:sz w:val="17"/>
              </w:rPr>
              <w:t>(fornecida pela SEA)</w:t>
            </w:r>
          </w:p>
        </w:tc>
      </w:tr>
      <w:tr w:rsidR="009C3A61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36901">
              <w:rPr>
                <w:sz w:val="20"/>
              </w:rPr>
              <w:t>9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53"/>
              <w:ind w:right="509"/>
              <w:rPr>
                <w:sz w:val="20"/>
              </w:rPr>
            </w:pPr>
            <w:r>
              <w:rPr>
                <w:sz w:val="20"/>
              </w:rPr>
              <w:t>Declaração do Banco do Brasil ou cartão do Banco, com número de agência e conta corrente individual, em nome do dependente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43690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Termo de curatela judicial </w:t>
            </w:r>
            <w:r>
              <w:rPr>
                <w:i/>
                <w:sz w:val="17"/>
              </w:rPr>
              <w:t>(se for o caso)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6901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curador </w:t>
            </w:r>
            <w:r>
              <w:rPr>
                <w:i/>
                <w:sz w:val="17"/>
              </w:rPr>
              <w:t>(quando presente o item 19)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6901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Procuração pública </w:t>
            </w:r>
            <w:r>
              <w:rPr>
                <w:i/>
                <w:sz w:val="17"/>
              </w:rPr>
              <w:t>(no caso de dependente representado por procurador)</w:t>
            </w:r>
          </w:p>
        </w:tc>
      </w:tr>
      <w:tr w:rsidR="009C3A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6901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procurador </w:t>
            </w:r>
            <w:r>
              <w:rPr>
                <w:i/>
                <w:sz w:val="17"/>
              </w:rPr>
              <w:t>(quando presente o item 21)</w:t>
            </w:r>
          </w:p>
        </w:tc>
      </w:tr>
      <w:tr w:rsidR="009C3A61">
        <w:trPr>
          <w:trHeight w:val="589"/>
        </w:trPr>
        <w:tc>
          <w:tcPr>
            <w:tcW w:w="664" w:type="dxa"/>
            <w:tcBorders>
              <w:left w:val="double" w:sz="2" w:space="0" w:color="ACA899"/>
            </w:tcBorders>
          </w:tcPr>
          <w:p w:rsidR="009C3A61" w:rsidRDefault="009C3A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6901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9C3A61" w:rsidRDefault="009C3A61">
            <w:pPr>
              <w:pStyle w:val="TableParagraph"/>
              <w:spacing w:before="53"/>
              <w:ind w:right="631"/>
              <w:rPr>
                <w:sz w:val="20"/>
              </w:rPr>
            </w:pPr>
            <w:r>
              <w:rPr>
                <w:sz w:val="20"/>
              </w:rPr>
              <w:t>Comprovante de residência recente do dependente: conta de luz, água, telefone ou documento similar</w:t>
            </w:r>
          </w:p>
        </w:tc>
      </w:tr>
    </w:tbl>
    <w:p w:rsidR="009C3A61" w:rsidRDefault="009C3A61">
      <w:pPr>
        <w:spacing w:before="4"/>
        <w:rPr>
          <w:sz w:val="13"/>
        </w:rPr>
      </w:pPr>
    </w:p>
    <w:sectPr w:rsidR="009C3A61" w:rsidSect="00812B29">
      <w:type w:val="continuous"/>
      <w:pgSz w:w="11900" w:h="16840"/>
      <w:pgMar w:top="74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C50"/>
    <w:multiLevelType w:val="hybridMultilevel"/>
    <w:tmpl w:val="FFFFFFFF"/>
    <w:lvl w:ilvl="0" w:tplc="7C704F16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74382B20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F718D48A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729C23BE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8C425BB8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2424DB44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41A838E6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24289C9C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A77E3F6A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2B29"/>
    <w:rsid w:val="00306E4E"/>
    <w:rsid w:val="00436901"/>
    <w:rsid w:val="0079011D"/>
    <w:rsid w:val="00812B29"/>
    <w:rsid w:val="008B453E"/>
    <w:rsid w:val="009C3A61"/>
    <w:rsid w:val="00AC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9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812B29"/>
    <w:pPr>
      <w:spacing w:before="1"/>
      <w:ind w:left="1251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526F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812B29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526F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812B29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812B29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Filho Solteiro Maior Invalido.doc</dc:title>
  <dc:creator>200115</dc:creator>
  <cp:lastModifiedBy>955849</cp:lastModifiedBy>
  <cp:revision>2</cp:revision>
  <dcterms:created xsi:type="dcterms:W3CDTF">2019-12-04T21:22:00Z</dcterms:created>
  <dcterms:modified xsi:type="dcterms:W3CDTF">2019-12-04T21:22:00Z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